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E51FC" w:rsidR="00D5547E" w:rsidP="004A6D2F" w:rsidRDefault="00D5547E" w14:paraId="3A2EDFC9" w14:textId="77777777"/>
    <w:tbl>
      <w:tblPr>
        <w:tblW w:w="0" w:type="auto"/>
        <w:tblInd w:w="108" w:type="dxa"/>
        <w:tblLayout w:type="fixed"/>
        <w:tblLook w:val="04A0" w:firstRow="1" w:lastRow="0" w:firstColumn="1" w:lastColumn="0" w:noHBand="0" w:noVBand="1"/>
      </w:tblPr>
      <w:tblGrid>
        <w:gridCol w:w="2438"/>
        <w:gridCol w:w="6406"/>
      </w:tblGrid>
      <w:tr w:rsidRPr="00975B07" w:rsidR="00CE544A" w:rsidTr="62B73EE3" w14:paraId="04473DCA" w14:textId="77777777">
        <w:tc>
          <w:tcPr>
            <w:tcW w:w="2438" w:type="dxa"/>
          </w:tcPr>
          <w:p w:rsidRPr="00975B07" w:rsidR="00F445B1" w:rsidP="004A6D2F" w:rsidRDefault="00F445B1" w14:paraId="334BE3F6" w14:textId="77777777">
            <w:pPr>
              <w:rPr>
                <w:rStyle w:val="Firstpagetablebold"/>
              </w:rPr>
            </w:pPr>
            <w:r w:rsidRPr="00975B07">
              <w:rPr>
                <w:rStyle w:val="Firstpagetablebold"/>
              </w:rPr>
              <w:t>To</w:t>
            </w:r>
            <w:r w:rsidRPr="00975B07" w:rsidR="005C35A5">
              <w:rPr>
                <w:rStyle w:val="Firstpagetablebold"/>
              </w:rPr>
              <w:t>:</w:t>
            </w:r>
          </w:p>
        </w:tc>
        <w:tc>
          <w:tcPr>
            <w:tcW w:w="6406" w:type="dxa"/>
          </w:tcPr>
          <w:p w:rsidRPr="00F95BC9" w:rsidR="00F445B1" w:rsidP="004A6D2F" w:rsidRDefault="00DB7AD7" w14:paraId="017518DB" w14:textId="261D1CF5">
            <w:pPr>
              <w:rPr>
                <w:rStyle w:val="Firstpagetablebold"/>
              </w:rPr>
            </w:pPr>
            <w:r w:rsidRPr="62B73EE3">
              <w:rPr>
                <w:rStyle w:val="Firstpagetablebold"/>
              </w:rPr>
              <w:t>Cabinet</w:t>
            </w:r>
            <w:r w:rsidRPr="62B73EE3" w:rsidR="00025250">
              <w:rPr>
                <w:rStyle w:val="Firstpagetablebold"/>
              </w:rPr>
              <w:t xml:space="preserve"> </w:t>
            </w:r>
          </w:p>
        </w:tc>
      </w:tr>
      <w:tr w:rsidRPr="00975B07" w:rsidR="00CE544A" w:rsidTr="62B73EE3" w14:paraId="705FA4FB" w14:textId="77777777">
        <w:tc>
          <w:tcPr>
            <w:tcW w:w="2438" w:type="dxa"/>
          </w:tcPr>
          <w:p w:rsidRPr="00975B07" w:rsidR="00F445B1" w:rsidP="004A6D2F" w:rsidRDefault="00F445B1" w14:paraId="3C1A12A6" w14:textId="77777777">
            <w:pPr>
              <w:rPr>
                <w:rStyle w:val="Firstpagetablebold"/>
              </w:rPr>
            </w:pPr>
            <w:r w:rsidRPr="00975B07">
              <w:rPr>
                <w:rStyle w:val="Firstpagetablebold"/>
              </w:rPr>
              <w:t>Dat</w:t>
            </w:r>
            <w:r w:rsidRPr="00975B07" w:rsidR="005C35A5">
              <w:rPr>
                <w:rStyle w:val="Firstpagetablebold"/>
              </w:rPr>
              <w:t>e:</w:t>
            </w:r>
          </w:p>
        </w:tc>
        <w:tc>
          <w:tcPr>
            <w:tcW w:w="6406" w:type="dxa"/>
          </w:tcPr>
          <w:p w:rsidRPr="009E30E2" w:rsidR="00F445B1" w:rsidP="62B73EE3" w:rsidRDefault="00363719" w14:paraId="4F4A4C58" w14:textId="34780F22">
            <w:pPr>
              <w:rPr>
                <w:b/>
                <w:bCs/>
                <w:color w:val="auto"/>
              </w:rPr>
            </w:pPr>
            <w:r>
              <w:rPr>
                <w:rStyle w:val="Firstpagetablebold"/>
                <w:rFonts w:cs="Arial"/>
                <w:b w:val="0"/>
                <w:color w:val="auto"/>
              </w:rPr>
              <w:t>1</w:t>
            </w:r>
            <w:r w:rsidR="00AF6727">
              <w:rPr>
                <w:rStyle w:val="Firstpagetablebold"/>
                <w:rFonts w:cs="Arial"/>
                <w:b w:val="0"/>
                <w:color w:val="auto"/>
              </w:rPr>
              <w:t>0 December</w:t>
            </w:r>
            <w:r>
              <w:rPr>
                <w:rStyle w:val="Firstpagetablebold"/>
                <w:rFonts w:cs="Arial"/>
                <w:b w:val="0"/>
                <w:color w:val="auto"/>
              </w:rPr>
              <w:t xml:space="preserve"> 2025</w:t>
            </w:r>
          </w:p>
        </w:tc>
      </w:tr>
      <w:tr w:rsidRPr="00975B07" w:rsidR="00CE544A" w:rsidTr="62B73EE3" w14:paraId="7AED9E48" w14:textId="77777777">
        <w:tc>
          <w:tcPr>
            <w:tcW w:w="2438" w:type="dxa"/>
          </w:tcPr>
          <w:p w:rsidRPr="00975B07" w:rsidR="00F445B1" w:rsidP="004A6D2F" w:rsidRDefault="00F445B1" w14:paraId="2049294C" w14:textId="77777777">
            <w:pPr>
              <w:rPr>
                <w:rStyle w:val="Firstpagetablebold"/>
              </w:rPr>
            </w:pPr>
            <w:r w:rsidRPr="00975B07">
              <w:rPr>
                <w:rStyle w:val="Firstpagetablebold"/>
              </w:rPr>
              <w:t>Report of</w:t>
            </w:r>
            <w:r w:rsidRPr="00975B07" w:rsidR="005C35A5">
              <w:rPr>
                <w:rStyle w:val="Firstpagetablebold"/>
              </w:rPr>
              <w:t>:</w:t>
            </w:r>
          </w:p>
        </w:tc>
        <w:tc>
          <w:tcPr>
            <w:tcW w:w="6406" w:type="dxa"/>
          </w:tcPr>
          <w:p w:rsidRPr="009E30E2" w:rsidR="00F445B1" w:rsidP="004A6D2F" w:rsidRDefault="009B741F" w14:paraId="31C202AE" w14:textId="03DE4A30">
            <w:pPr>
              <w:rPr>
                <w:rStyle w:val="Firstpagetablebold"/>
                <w:color w:val="auto"/>
              </w:rPr>
            </w:pPr>
            <w:r>
              <w:rPr>
                <w:rStyle w:val="Firstpagetablebold"/>
                <w:rFonts w:cs="Arial"/>
                <w:b w:val="0"/>
                <w:color w:val="auto"/>
              </w:rPr>
              <w:t>Nigel Kennedy Group Finance Director</w:t>
            </w:r>
          </w:p>
        </w:tc>
      </w:tr>
      <w:tr w:rsidRPr="00975B07" w:rsidR="00CE544A" w:rsidTr="62B73EE3" w14:paraId="312CDF01" w14:textId="77777777">
        <w:tc>
          <w:tcPr>
            <w:tcW w:w="2438" w:type="dxa"/>
          </w:tcPr>
          <w:p w:rsidRPr="00975B07" w:rsidR="00F445B1" w:rsidP="004A6D2F" w:rsidRDefault="00F445B1" w14:paraId="08DE1E88" w14:textId="77777777">
            <w:pPr>
              <w:rPr>
                <w:rStyle w:val="Firstpagetablebold"/>
              </w:rPr>
            </w:pPr>
            <w:r w:rsidRPr="00975B07">
              <w:rPr>
                <w:rStyle w:val="Firstpagetablebold"/>
              </w:rPr>
              <w:t xml:space="preserve">Title of Report: </w:t>
            </w:r>
          </w:p>
        </w:tc>
        <w:tc>
          <w:tcPr>
            <w:tcW w:w="6406" w:type="dxa"/>
          </w:tcPr>
          <w:p w:rsidRPr="007537F0" w:rsidR="00F445B1" w:rsidP="004A6D2F" w:rsidRDefault="00555B59" w14:paraId="4C45E9F3" w14:textId="538F5E1A">
            <w:pPr>
              <w:rPr>
                <w:rStyle w:val="Firstpagetablebold"/>
                <w:color w:val="auto"/>
                <w:highlight w:val="yellow"/>
              </w:rPr>
            </w:pPr>
            <w:r>
              <w:rPr>
                <w:rStyle w:val="Firstpagetablebold"/>
                <w:rFonts w:cs="Arial"/>
                <w:b w:val="0"/>
                <w:color w:val="auto"/>
              </w:rPr>
              <w:t>Delegation to p</w:t>
            </w:r>
            <w:r w:rsidRPr="009B741F" w:rsidR="009B741F">
              <w:rPr>
                <w:rStyle w:val="Firstpagetablebold"/>
                <w:rFonts w:cs="Arial"/>
                <w:b w:val="0"/>
                <w:color w:val="auto"/>
              </w:rPr>
              <w:t xml:space="preserve">urchase </w:t>
            </w:r>
            <w:r w:rsidR="00AF6727">
              <w:rPr>
                <w:rStyle w:val="Firstpagetablebold"/>
                <w:rFonts w:cs="Arial"/>
                <w:b w:val="0"/>
                <w:color w:val="auto"/>
              </w:rPr>
              <w:t>fleet vehicles 2025/26</w:t>
            </w:r>
          </w:p>
        </w:tc>
      </w:tr>
    </w:tbl>
    <w:p w:rsidR="004F20EF" w:rsidP="004A6D2F" w:rsidRDefault="004F20EF" w14:paraId="2173E708" w14:textId="77777777"/>
    <w:tbl>
      <w:tblPr>
        <w:tblW w:w="0" w:type="auto"/>
        <w:tblInd w:w="10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ook w:val="04A0" w:firstRow="1" w:lastRow="0" w:firstColumn="1" w:lastColumn="0" w:noHBand="0" w:noVBand="1"/>
      </w:tblPr>
      <w:tblGrid>
        <w:gridCol w:w="2438"/>
        <w:gridCol w:w="6407"/>
      </w:tblGrid>
      <w:tr w:rsidR="00D5547E" w:rsidTr="0080749A" w14:paraId="30A8EDD0" w14:textId="77777777">
        <w:tc>
          <w:tcPr>
            <w:tcW w:w="8845" w:type="dxa"/>
            <w:gridSpan w:val="2"/>
            <w:tcBorders>
              <w:bottom w:val="single" w:color="000000" w:sz="8" w:space="0"/>
            </w:tcBorders>
            <w:hideMark/>
          </w:tcPr>
          <w:p w:rsidR="00D5547E" w:rsidP="00745BF0" w:rsidRDefault="00745BF0" w14:paraId="7672E430" w14:textId="77777777">
            <w:pPr>
              <w:jc w:val="center"/>
              <w:rPr>
                <w:rStyle w:val="Firstpagetablebold"/>
              </w:rPr>
            </w:pPr>
            <w:r>
              <w:rPr>
                <w:rStyle w:val="Firstpagetablebold"/>
              </w:rPr>
              <w:t>Summary and r</w:t>
            </w:r>
            <w:r w:rsidR="00D5547E">
              <w:rPr>
                <w:rStyle w:val="Firstpagetablebold"/>
              </w:rPr>
              <w:t>ecommendations</w:t>
            </w:r>
          </w:p>
        </w:tc>
      </w:tr>
      <w:tr w:rsidR="00D5547E" w:rsidTr="0080749A" w14:paraId="01894138" w14:textId="77777777">
        <w:tc>
          <w:tcPr>
            <w:tcW w:w="2438" w:type="dxa"/>
            <w:tcBorders>
              <w:top w:val="single" w:color="000000" w:sz="8" w:space="0"/>
              <w:left w:val="single" w:color="000000" w:sz="8" w:space="0"/>
              <w:bottom w:val="nil"/>
              <w:right w:val="nil"/>
            </w:tcBorders>
            <w:hideMark/>
          </w:tcPr>
          <w:p w:rsidR="00D5547E" w:rsidRDefault="00025250" w14:paraId="5BB81F73" w14:textId="120319E8">
            <w:pPr>
              <w:rPr>
                <w:rStyle w:val="Firstpagetablebold"/>
              </w:rPr>
            </w:pPr>
            <w:r>
              <w:rPr>
                <w:rStyle w:val="Firstpagetablebold"/>
              </w:rPr>
              <w:t>Decision being taken</w:t>
            </w:r>
            <w:r w:rsidR="00D5547E">
              <w:rPr>
                <w:rStyle w:val="Firstpagetablebold"/>
              </w:rPr>
              <w:t>:</w:t>
            </w:r>
          </w:p>
        </w:tc>
        <w:tc>
          <w:tcPr>
            <w:tcW w:w="6407" w:type="dxa"/>
            <w:tcBorders>
              <w:top w:val="single" w:color="000000" w:sz="8" w:space="0"/>
              <w:left w:val="nil"/>
              <w:bottom w:val="nil"/>
              <w:right w:val="single" w:color="000000" w:sz="8" w:space="0"/>
            </w:tcBorders>
            <w:hideMark/>
          </w:tcPr>
          <w:p w:rsidRPr="009E30E2" w:rsidR="00D5547E" w:rsidP="00DB7AD7" w:rsidRDefault="009B741F" w14:paraId="419B6548" w14:textId="47E3D2B9">
            <w:pPr>
              <w:rPr>
                <w:color w:val="auto"/>
              </w:rPr>
            </w:pPr>
            <w:r>
              <w:rPr>
                <w:color w:val="auto"/>
              </w:rPr>
              <w:t>T</w:t>
            </w:r>
            <w:r>
              <w:t xml:space="preserve">o </w:t>
            </w:r>
            <w:r w:rsidR="00AF6727">
              <w:t>delegate authority to the Group Finance Director</w:t>
            </w:r>
            <w:r w:rsidR="004F6F31">
              <w:t xml:space="preserve"> for the remainder of the current financial </w:t>
            </w:r>
            <w:r w:rsidR="006C713B">
              <w:t>year to</w:t>
            </w:r>
            <w:r w:rsidR="00AF6727">
              <w:t xml:space="preserve"> award </w:t>
            </w:r>
            <w:r w:rsidR="006F3190">
              <w:t>any</w:t>
            </w:r>
            <w:r w:rsidR="00AF6727">
              <w:t xml:space="preserve"> fleet contracts</w:t>
            </w:r>
            <w:r w:rsidR="006F3190">
              <w:t xml:space="preserve"> </w:t>
            </w:r>
            <w:r w:rsidR="008B5497">
              <w:t xml:space="preserve">valued in excess of £750k </w:t>
            </w:r>
            <w:r w:rsidR="00AF6727">
              <w:t>following a compliant procurement process</w:t>
            </w:r>
            <w:r w:rsidR="00934B6C">
              <w:t>.</w:t>
            </w:r>
          </w:p>
        </w:tc>
      </w:tr>
      <w:tr w:rsidR="00025250" w:rsidTr="0080749A" w14:paraId="43BD728D" w14:textId="77777777">
        <w:tc>
          <w:tcPr>
            <w:tcW w:w="2438" w:type="dxa"/>
            <w:tcBorders>
              <w:top w:val="nil"/>
              <w:left w:val="single" w:color="000000" w:sz="8" w:space="0"/>
              <w:bottom w:val="nil"/>
              <w:right w:val="nil"/>
            </w:tcBorders>
            <w:hideMark/>
          </w:tcPr>
          <w:p w:rsidR="00025250" w:rsidP="00025250" w:rsidRDefault="00025250" w14:paraId="0997AE74" w14:textId="77777777">
            <w:pPr>
              <w:rPr>
                <w:rStyle w:val="Firstpagetablebold"/>
              </w:rPr>
            </w:pPr>
            <w:r>
              <w:rPr>
                <w:rStyle w:val="Firstpagetablebold"/>
              </w:rPr>
              <w:t>Key decision:</w:t>
            </w:r>
          </w:p>
        </w:tc>
        <w:tc>
          <w:tcPr>
            <w:tcW w:w="6407" w:type="dxa"/>
            <w:tcBorders>
              <w:top w:val="nil"/>
              <w:left w:val="nil"/>
              <w:bottom w:val="nil"/>
              <w:right w:val="single" w:color="000000" w:sz="8" w:space="0"/>
            </w:tcBorders>
            <w:hideMark/>
          </w:tcPr>
          <w:p w:rsidRPr="009E30E2" w:rsidR="00025250" w:rsidP="00025250" w:rsidRDefault="00E84E0E" w14:paraId="1B0C58F5" w14:textId="686A1BA5">
            <w:pPr>
              <w:rPr>
                <w:color w:val="auto"/>
              </w:rPr>
            </w:pPr>
            <w:r>
              <w:rPr>
                <w:rFonts w:cs="Arial"/>
                <w:color w:val="auto"/>
              </w:rPr>
              <w:t xml:space="preserve">Yes </w:t>
            </w:r>
          </w:p>
        </w:tc>
      </w:tr>
      <w:tr w:rsidR="00025250" w:rsidTr="0080749A" w14:paraId="10A3E36F" w14:textId="77777777">
        <w:tc>
          <w:tcPr>
            <w:tcW w:w="2438" w:type="dxa"/>
            <w:tcBorders>
              <w:top w:val="nil"/>
              <w:left w:val="single" w:color="000000" w:sz="8" w:space="0"/>
              <w:bottom w:val="nil"/>
              <w:right w:val="nil"/>
            </w:tcBorders>
            <w:hideMark/>
          </w:tcPr>
          <w:p w:rsidR="00025250" w:rsidP="00025250" w:rsidRDefault="00025250" w14:paraId="55E06E9D" w14:textId="77777777">
            <w:pPr>
              <w:rPr>
                <w:rStyle w:val="Firstpagetablebold"/>
              </w:rPr>
            </w:pPr>
            <w:r>
              <w:rPr>
                <w:rStyle w:val="Firstpagetablebold"/>
              </w:rPr>
              <w:t>Cabinet Member:</w:t>
            </w:r>
          </w:p>
        </w:tc>
        <w:tc>
          <w:tcPr>
            <w:tcW w:w="6407" w:type="dxa"/>
            <w:tcBorders>
              <w:top w:val="nil"/>
              <w:left w:val="nil"/>
              <w:bottom w:val="nil"/>
              <w:right w:val="single" w:color="000000" w:sz="8" w:space="0"/>
            </w:tcBorders>
            <w:hideMark/>
          </w:tcPr>
          <w:p w:rsidRPr="009E30E2" w:rsidR="00025250" w:rsidP="00025250" w:rsidRDefault="00025250" w14:paraId="1E006809" w14:textId="5932B737">
            <w:pPr>
              <w:rPr>
                <w:color w:val="auto"/>
              </w:rPr>
            </w:pPr>
            <w:r w:rsidRPr="009B741F">
              <w:rPr>
                <w:color w:val="auto"/>
              </w:rPr>
              <w:t xml:space="preserve">Councillor </w:t>
            </w:r>
            <w:r w:rsidRPr="009B741F" w:rsidR="009B741F">
              <w:rPr>
                <w:color w:val="auto"/>
              </w:rPr>
              <w:t>Nigel Chapman</w:t>
            </w:r>
            <w:r w:rsidRPr="009B741F">
              <w:rPr>
                <w:color w:val="auto"/>
              </w:rPr>
              <w:t xml:space="preserve">, </w:t>
            </w:r>
            <w:r w:rsidR="009B741F">
              <w:rPr>
                <w:color w:val="auto"/>
              </w:rPr>
              <w:t>Cabinet Member for Citizen Focused Services and Council Companies</w:t>
            </w:r>
          </w:p>
        </w:tc>
      </w:tr>
      <w:tr w:rsidR="00025250" w:rsidTr="0097170F" w14:paraId="7B700325" w14:textId="77777777">
        <w:tc>
          <w:tcPr>
            <w:tcW w:w="2438" w:type="dxa"/>
            <w:tcBorders>
              <w:top w:val="nil"/>
              <w:left w:val="single" w:color="000000" w:sz="8" w:space="0"/>
              <w:bottom w:val="nil"/>
              <w:right w:val="nil"/>
            </w:tcBorders>
          </w:tcPr>
          <w:p w:rsidR="00025250" w:rsidP="00025250" w:rsidRDefault="00025250" w14:paraId="7A58DBB5" w14:textId="77777777">
            <w:pPr>
              <w:rPr>
                <w:rStyle w:val="Firstpagetablebold"/>
              </w:rPr>
            </w:pPr>
            <w:r>
              <w:rPr>
                <w:rStyle w:val="Firstpagetablebold"/>
              </w:rPr>
              <w:t>Corporate Priority:</w:t>
            </w:r>
          </w:p>
        </w:tc>
        <w:tc>
          <w:tcPr>
            <w:tcW w:w="6407" w:type="dxa"/>
            <w:tcBorders>
              <w:top w:val="nil"/>
              <w:left w:val="nil"/>
              <w:bottom w:val="nil"/>
              <w:right w:val="single" w:color="000000" w:sz="8" w:space="0"/>
            </w:tcBorders>
          </w:tcPr>
          <w:p w:rsidRPr="009E30E2" w:rsidR="00025250" w:rsidP="00025250" w:rsidRDefault="009B741F" w14:paraId="3DF1AC69" w14:textId="7C170219">
            <w:pPr>
              <w:rPr>
                <w:color w:val="auto"/>
              </w:rPr>
            </w:pPr>
            <w:r>
              <w:rPr>
                <w:color w:val="auto"/>
              </w:rPr>
              <w:t>A well run Council</w:t>
            </w:r>
          </w:p>
        </w:tc>
      </w:tr>
      <w:tr w:rsidR="00025250" w:rsidTr="0097170F" w14:paraId="63186D5F" w14:textId="77777777">
        <w:tc>
          <w:tcPr>
            <w:tcW w:w="2438" w:type="dxa"/>
            <w:tcBorders>
              <w:top w:val="nil"/>
              <w:left w:val="single" w:color="000000" w:sz="8" w:space="0"/>
              <w:bottom w:val="single" w:color="auto" w:sz="4" w:space="0"/>
              <w:right w:val="nil"/>
            </w:tcBorders>
            <w:hideMark/>
          </w:tcPr>
          <w:p w:rsidR="00025250" w:rsidP="00025250" w:rsidRDefault="00025250" w14:paraId="13359BD4" w14:textId="77777777">
            <w:pPr>
              <w:rPr>
                <w:rStyle w:val="Firstpagetablebold"/>
              </w:rPr>
            </w:pPr>
            <w:r>
              <w:rPr>
                <w:rStyle w:val="Firstpagetablebold"/>
              </w:rPr>
              <w:t>Policy Framework:</w:t>
            </w:r>
          </w:p>
        </w:tc>
        <w:tc>
          <w:tcPr>
            <w:tcW w:w="6407" w:type="dxa"/>
            <w:tcBorders>
              <w:top w:val="nil"/>
              <w:left w:val="nil"/>
              <w:bottom w:val="single" w:color="auto" w:sz="4" w:space="0"/>
              <w:right w:val="single" w:color="000000" w:sz="8" w:space="0"/>
            </w:tcBorders>
            <w:hideMark/>
          </w:tcPr>
          <w:p w:rsidRPr="009E30E2" w:rsidR="00025250" w:rsidP="00025250" w:rsidRDefault="009B741F" w14:paraId="0AA7D163" w14:textId="0D2683A2">
            <w:pPr>
              <w:rPr>
                <w:color w:val="auto"/>
              </w:rPr>
            </w:pPr>
            <w:r>
              <w:rPr>
                <w:color w:val="auto"/>
              </w:rPr>
              <w:t>None</w:t>
            </w:r>
          </w:p>
        </w:tc>
      </w:tr>
    </w:tbl>
    <w:p w:rsidR="00CE544A" w:rsidP="004A6D2F" w:rsidRDefault="00CE544A" w14:paraId="3B28CE5F" w14:textId="77777777"/>
    <w:tbl>
      <w:tblPr>
        <w:tblW w:w="0" w:type="auto"/>
        <w:tblInd w:w="10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ook w:val="04A0" w:firstRow="1" w:lastRow="0" w:firstColumn="1" w:lastColumn="0" w:noHBand="0" w:noVBand="1"/>
      </w:tblPr>
      <w:tblGrid>
        <w:gridCol w:w="426"/>
        <w:gridCol w:w="8419"/>
      </w:tblGrid>
      <w:tr w:rsidRPr="00975B07" w:rsidR="00025250" w:rsidTr="62B73EE3" w14:paraId="75BF65A5" w14:textId="77777777">
        <w:trPr>
          <w:trHeight w:val="413"/>
        </w:trPr>
        <w:tc>
          <w:tcPr>
            <w:tcW w:w="8845" w:type="dxa"/>
            <w:gridSpan w:val="2"/>
            <w:tcBorders>
              <w:bottom w:val="single" w:color="000000" w:themeColor="text1" w:sz="8" w:space="0"/>
            </w:tcBorders>
          </w:tcPr>
          <w:p w:rsidRPr="00975B07" w:rsidR="00025250" w:rsidP="00770DD5" w:rsidRDefault="00025250" w14:paraId="18FB24CC" w14:textId="140E9700">
            <w:r w:rsidRPr="62B73EE3">
              <w:rPr>
                <w:rStyle w:val="Firstpagetablebold"/>
              </w:rPr>
              <w:t>Recommendation(s):</w:t>
            </w:r>
            <w:r w:rsidRPr="62B73EE3" w:rsidR="571C62E4">
              <w:rPr>
                <w:rStyle w:val="Firstpagetablebold"/>
              </w:rPr>
              <w:t xml:space="preserve"> </w:t>
            </w:r>
            <w:r w:rsidRPr="62B73EE3">
              <w:rPr>
                <w:rStyle w:val="Firstpagetablebold"/>
                <w:b w:val="0"/>
              </w:rPr>
              <w:t>That Cabinet resolves to:</w:t>
            </w:r>
          </w:p>
        </w:tc>
      </w:tr>
      <w:tr w:rsidRPr="00975B07" w:rsidR="00025250" w:rsidTr="007537F0" w14:paraId="128A7C0D" w14:textId="77777777">
        <w:trPr>
          <w:trHeight w:val="283"/>
        </w:trPr>
        <w:tc>
          <w:tcPr>
            <w:tcW w:w="426" w:type="dxa"/>
            <w:tcBorders>
              <w:top w:val="single" w:color="000000" w:themeColor="text1" w:sz="8" w:space="0"/>
              <w:left w:val="single" w:color="000000" w:themeColor="text1" w:sz="8" w:space="0"/>
              <w:bottom w:val="single" w:color="auto" w:sz="4" w:space="0"/>
              <w:right w:val="nil"/>
            </w:tcBorders>
          </w:tcPr>
          <w:p w:rsidRPr="00975B07" w:rsidR="00025250" w:rsidP="00770DD5" w:rsidRDefault="00025250" w14:paraId="4AAB6C58" w14:textId="77777777">
            <w:r w:rsidRPr="00975B07">
              <w:t>1.</w:t>
            </w:r>
          </w:p>
        </w:tc>
        <w:tc>
          <w:tcPr>
            <w:tcW w:w="8419" w:type="dxa"/>
            <w:tcBorders>
              <w:top w:val="single" w:color="000000" w:themeColor="text1" w:sz="8" w:space="0"/>
              <w:left w:val="nil"/>
              <w:bottom w:val="single" w:color="auto" w:sz="4" w:space="0"/>
              <w:right w:val="single" w:color="000000" w:themeColor="text1" w:sz="8" w:space="0"/>
            </w:tcBorders>
          </w:tcPr>
          <w:p w:rsidRPr="007537F0" w:rsidR="00025250" w:rsidP="00770DD5" w:rsidRDefault="007537F0" w14:paraId="2D683A1F" w14:textId="75F8349E">
            <w:pPr>
              <w:rPr>
                <w:b/>
                <w:bCs/>
              </w:rPr>
            </w:pPr>
            <w:r w:rsidRPr="007537F0">
              <w:rPr>
                <w:rStyle w:val="Firstpagetablebold"/>
                <w:b w:val="0"/>
                <w:bCs/>
              </w:rPr>
              <w:t xml:space="preserve">It is recommended that Cabinet resolves to </w:t>
            </w:r>
            <w:r w:rsidR="00AF6727">
              <w:rPr>
                <w:rStyle w:val="Firstpagetablebold"/>
                <w:b w:val="0"/>
                <w:bCs/>
              </w:rPr>
              <w:t>delegate authority</w:t>
            </w:r>
            <w:r w:rsidR="00463ACD">
              <w:rPr>
                <w:rStyle w:val="Firstpagetablebold"/>
                <w:b w:val="0"/>
                <w:bCs/>
              </w:rPr>
              <w:t>,</w:t>
            </w:r>
            <w:r w:rsidR="0060432D">
              <w:rPr>
                <w:rStyle w:val="Firstpagetablebold"/>
                <w:b w:val="0"/>
                <w:bCs/>
              </w:rPr>
              <w:t xml:space="preserve"> for the remainder of the current financial year</w:t>
            </w:r>
            <w:r w:rsidR="00463ACD">
              <w:rPr>
                <w:rStyle w:val="Firstpagetablebold"/>
                <w:b w:val="0"/>
                <w:bCs/>
              </w:rPr>
              <w:t>,</w:t>
            </w:r>
            <w:r w:rsidR="0060432D">
              <w:rPr>
                <w:rStyle w:val="Firstpagetablebold"/>
                <w:b w:val="0"/>
                <w:bCs/>
              </w:rPr>
              <w:t xml:space="preserve"> </w:t>
            </w:r>
            <w:r w:rsidR="00AF6727">
              <w:rPr>
                <w:rStyle w:val="Firstpagetablebold"/>
                <w:b w:val="0"/>
                <w:bCs/>
              </w:rPr>
              <w:t>to the Group Finance Director to award contracts</w:t>
            </w:r>
            <w:r w:rsidR="00BA1A18">
              <w:rPr>
                <w:rStyle w:val="Firstpagetablebold"/>
                <w:b w:val="0"/>
                <w:bCs/>
              </w:rPr>
              <w:t xml:space="preserve"> </w:t>
            </w:r>
            <w:r w:rsidRPr="00463ACD" w:rsidR="00463ACD">
              <w:rPr>
                <w:rStyle w:val="Firstpagetablebold"/>
                <w:b w:val="0"/>
                <w:bCs/>
              </w:rPr>
              <w:t>with values in excess of £750k</w:t>
            </w:r>
            <w:r w:rsidR="00506DE6">
              <w:rPr>
                <w:rStyle w:val="Firstpagetablebold"/>
                <w:b w:val="0"/>
                <w:bCs/>
              </w:rPr>
              <w:t xml:space="preserve"> </w:t>
            </w:r>
            <w:r w:rsidR="00AF6727">
              <w:rPr>
                <w:rStyle w:val="Firstpagetablebold"/>
                <w:b w:val="0"/>
                <w:bCs/>
              </w:rPr>
              <w:t>for the purchase of fleet vehicles</w:t>
            </w:r>
            <w:r w:rsidR="00463ACD">
              <w:rPr>
                <w:rStyle w:val="Firstpagetablebold"/>
                <w:b w:val="0"/>
                <w:bCs/>
              </w:rPr>
              <w:t>.</w:t>
            </w:r>
            <w:r w:rsidRPr="00572782" w:rsidR="00572782">
              <w:rPr>
                <w:rStyle w:val="Firstpagetablebold"/>
                <w:b w:val="0"/>
                <w:bCs/>
              </w:rPr>
              <w:t xml:space="preserve"> </w:t>
            </w:r>
          </w:p>
        </w:tc>
      </w:tr>
    </w:tbl>
    <w:p w:rsidR="00025250" w:rsidP="004A6D2F" w:rsidRDefault="00025250" w14:paraId="7D5A6705" w14:textId="77777777"/>
    <w:tbl>
      <w:tblPr>
        <w:tblW w:w="0" w:type="auto"/>
        <w:tblInd w:w="108"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ook w:val="04A0" w:firstRow="1" w:lastRow="0" w:firstColumn="1" w:lastColumn="0" w:noHBand="0" w:noVBand="1"/>
      </w:tblPr>
      <w:tblGrid>
        <w:gridCol w:w="2438"/>
        <w:gridCol w:w="6407"/>
      </w:tblGrid>
      <w:tr w:rsidRPr="003E4C33" w:rsidR="00025250" w:rsidTr="62B73EE3" w14:paraId="67F8F7AF" w14:textId="77777777">
        <w:trPr>
          <w:trHeight w:val="300"/>
        </w:trPr>
        <w:tc>
          <w:tcPr>
            <w:tcW w:w="8845" w:type="dxa"/>
            <w:gridSpan w:val="2"/>
            <w:tcBorders>
              <w:bottom w:val="single" w:color="000000" w:themeColor="text1" w:sz="8" w:space="0"/>
            </w:tcBorders>
            <w:hideMark/>
          </w:tcPr>
          <w:p w:rsidRPr="009B741F" w:rsidR="00025250" w:rsidP="00770DD5" w:rsidRDefault="00025250" w14:paraId="59493166" w14:textId="77777777">
            <w:pPr>
              <w:jc w:val="center"/>
              <w:rPr>
                <w:rStyle w:val="Firstpagetablebold"/>
                <w:rFonts w:cs="Arial"/>
              </w:rPr>
            </w:pPr>
            <w:r w:rsidRPr="009B741F">
              <w:rPr>
                <w:rStyle w:val="Firstpagetablebold"/>
                <w:rFonts w:cs="Arial"/>
              </w:rPr>
              <w:t xml:space="preserve">Information Exempt From Publication </w:t>
            </w:r>
          </w:p>
        </w:tc>
      </w:tr>
      <w:tr w:rsidRPr="003E4C33" w:rsidR="00025250" w:rsidTr="62B73EE3" w14:paraId="40623F28" w14:textId="777777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00"/>
        </w:trPr>
        <w:tc>
          <w:tcPr>
            <w:tcW w:w="2438" w:type="dxa"/>
            <w:tcBorders>
              <w:top w:val="nil"/>
              <w:left w:val="single" w:color="000000" w:themeColor="text1" w:sz="8" w:space="0"/>
              <w:bottom w:val="nil"/>
              <w:right w:val="nil"/>
            </w:tcBorders>
          </w:tcPr>
          <w:p w:rsidRPr="009E30E2" w:rsidR="00025250" w:rsidP="00770DD5" w:rsidRDefault="009B741F" w14:paraId="5542E86A" w14:textId="0F9EC162">
            <w:pPr>
              <w:rPr>
                <w:rStyle w:val="Firstpagetablebold"/>
                <w:rFonts w:cs="Arial"/>
              </w:rPr>
            </w:pPr>
            <w:r>
              <w:rPr>
                <w:rStyle w:val="Firstpagetablebold"/>
                <w:rFonts w:cs="Arial"/>
                <w:color w:val="auto"/>
              </w:rPr>
              <w:t>N</w:t>
            </w:r>
            <w:r>
              <w:rPr>
                <w:rStyle w:val="Firstpagetablebold"/>
                <w:rFonts w:cs="Arial"/>
              </w:rPr>
              <w:t>/A</w:t>
            </w:r>
          </w:p>
        </w:tc>
        <w:tc>
          <w:tcPr>
            <w:tcW w:w="6407" w:type="dxa"/>
            <w:vMerge w:val="restart"/>
            <w:tcBorders>
              <w:top w:val="nil"/>
              <w:left w:val="nil"/>
              <w:bottom w:val="single" w:color="000000" w:themeColor="text1" w:sz="8" w:space="0"/>
              <w:right w:val="single" w:color="000000" w:themeColor="text1" w:sz="8" w:space="0"/>
            </w:tcBorders>
          </w:tcPr>
          <w:p w:rsidRPr="009B741F" w:rsidR="00025250" w:rsidP="009B741F" w:rsidRDefault="00025250" w14:paraId="5064A6DD" w14:textId="586D774F">
            <w:pPr>
              <w:rPr>
                <w:rFonts w:cs="Arial"/>
              </w:rPr>
            </w:pPr>
          </w:p>
        </w:tc>
      </w:tr>
      <w:tr w:rsidRPr="003E4C33" w:rsidR="00025250" w:rsidTr="62B73EE3" w14:paraId="7888775D" w14:textId="77777777">
        <w:trPr>
          <w:trHeight w:val="300"/>
        </w:trPr>
        <w:tc>
          <w:tcPr>
            <w:tcW w:w="2438" w:type="dxa"/>
            <w:tcBorders>
              <w:top w:val="nil"/>
              <w:left w:val="single" w:color="000000" w:themeColor="text1" w:sz="8" w:space="0"/>
              <w:bottom w:val="single" w:color="auto" w:sz="4" w:space="0"/>
              <w:right w:val="nil"/>
            </w:tcBorders>
          </w:tcPr>
          <w:p w:rsidRPr="003E4C33" w:rsidR="00025250" w:rsidP="00770DD5" w:rsidRDefault="00025250" w14:paraId="141DB754" w14:textId="77777777">
            <w:pPr>
              <w:rPr>
                <w:rStyle w:val="Firstpagetablebold"/>
                <w:rFonts w:cs="Arial"/>
                <w:i/>
                <w:iCs/>
                <w:color w:val="D9D9D9" w:themeColor="background1" w:themeShade="D9"/>
              </w:rPr>
            </w:pPr>
          </w:p>
        </w:tc>
        <w:tc>
          <w:tcPr>
            <w:tcW w:w="6407" w:type="dxa"/>
            <w:vMerge/>
          </w:tcPr>
          <w:p w:rsidRPr="003E4C33" w:rsidR="00025250" w:rsidP="00770DD5" w:rsidRDefault="00025250" w14:paraId="530EC42B" w14:textId="77777777">
            <w:pPr>
              <w:rPr>
                <w:rFonts w:cs="Arial"/>
              </w:rPr>
            </w:pPr>
          </w:p>
        </w:tc>
      </w:tr>
    </w:tbl>
    <w:p w:rsidR="00025250" w:rsidP="004A6D2F" w:rsidRDefault="00025250" w14:paraId="3E3DC543" w14:textId="77777777"/>
    <w:p w:rsidR="0040736F" w:rsidP="004A6D2F" w:rsidRDefault="00F66DCA" w14:paraId="50E21B3B" w14:textId="77777777">
      <w:pPr>
        <w:pStyle w:val="Heading1"/>
      </w:pPr>
      <w:r w:rsidRPr="001356F1">
        <w:t>Introduction and b</w:t>
      </w:r>
      <w:r w:rsidRPr="001356F1" w:rsidR="00151888">
        <w:t>ackground</w:t>
      </w:r>
      <w:r w:rsidRPr="001356F1" w:rsidR="00404032">
        <w:t xml:space="preserve"> </w:t>
      </w:r>
    </w:p>
    <w:p w:rsidR="009B741F" w:rsidP="00543073" w:rsidRDefault="009B741F" w14:paraId="7859136D" w14:textId="6803F1F9">
      <w:pPr>
        <w:pStyle w:val="ListParagraph"/>
        <w:numPr>
          <w:ilvl w:val="0"/>
          <w:numId w:val="8"/>
        </w:numPr>
      </w:pPr>
      <w:r>
        <w:t>F</w:t>
      </w:r>
      <w:r w:rsidRPr="009B741F">
        <w:t>leet utilised by Oxford Direct Services Limited</w:t>
      </w:r>
      <w:r w:rsidR="008D66AA">
        <w:t xml:space="preserve"> (“ODSL”)</w:t>
      </w:r>
      <w:r w:rsidRPr="009B741F">
        <w:t xml:space="preserve"> and Oxford Direct Services Trading Limited (“ODS</w:t>
      </w:r>
      <w:r w:rsidR="008D66AA">
        <w:t>TL</w:t>
      </w:r>
      <w:r w:rsidRPr="009B741F">
        <w:t>”) are purchased by the Council. The Council enter into the contracts and make payment to the suppliers, with ODS</w:t>
      </w:r>
      <w:r w:rsidR="008D66AA">
        <w:t>L</w:t>
      </w:r>
      <w:r>
        <w:t xml:space="preserve"> working with OCC Procurement</w:t>
      </w:r>
      <w:r w:rsidRPr="009B741F">
        <w:t xml:space="preserve"> carrying out the procurement. The vehicles are </w:t>
      </w:r>
      <w:r w:rsidR="0042577C">
        <w:t>owned</w:t>
      </w:r>
      <w:r w:rsidRPr="009B741F">
        <w:t xml:space="preserve"> by the Council, depreciated over 7 years but leased to ODS</w:t>
      </w:r>
      <w:r w:rsidR="008D66AA">
        <w:t>L</w:t>
      </w:r>
      <w:r w:rsidRPr="009B741F">
        <w:t xml:space="preserve"> over that time with </w:t>
      </w:r>
      <w:r w:rsidRPr="009B741F">
        <w:lastRenderedPageBreak/>
        <w:t>an appropriate leasing charge inclusive of interest payable to Council under the lease arrangements.  </w:t>
      </w:r>
    </w:p>
    <w:p w:rsidR="009B741F" w:rsidP="00543073" w:rsidRDefault="009B741F" w14:paraId="5C9C1E87" w14:textId="1FC39095">
      <w:pPr>
        <w:pStyle w:val="ListParagraph"/>
        <w:numPr>
          <w:ilvl w:val="0"/>
          <w:numId w:val="8"/>
        </w:numPr>
      </w:pPr>
      <w:r w:rsidRPr="009B741F">
        <w:t>ODS</w:t>
      </w:r>
      <w:r w:rsidR="008D66AA">
        <w:t>L</w:t>
      </w:r>
      <w:r w:rsidRPr="009B741F">
        <w:t xml:space="preserve"> scope and determine need in terms of fleet management. Fleet is used across a range of functions, including housing, waste, streets and parks. Life cycle of the fleet ranges typically from 7 to 10 years.  </w:t>
      </w:r>
    </w:p>
    <w:p w:rsidR="00771206" w:rsidP="00543073" w:rsidRDefault="00771206" w14:paraId="7DA313E0" w14:textId="2C8E6ED5">
      <w:pPr>
        <w:pStyle w:val="ListParagraph"/>
        <w:numPr>
          <w:ilvl w:val="0"/>
          <w:numId w:val="8"/>
        </w:numPr>
      </w:pPr>
      <w:r>
        <w:t>T</w:t>
      </w:r>
      <w:r w:rsidRPr="00771206">
        <w:t xml:space="preserve">he fleet that is being replaced is at </w:t>
      </w:r>
      <w:r w:rsidR="009623E9">
        <w:t xml:space="preserve">multiple </w:t>
      </w:r>
      <w:r w:rsidRPr="00771206">
        <w:t xml:space="preserve">years in its life span and therefore </w:t>
      </w:r>
      <w:r w:rsidR="009623E9">
        <w:t xml:space="preserve">with a number of the vehicles </w:t>
      </w:r>
      <w:r w:rsidRPr="00771206">
        <w:t xml:space="preserve">there </w:t>
      </w:r>
      <w:r w:rsidR="009623E9">
        <w:t>is a reliability</w:t>
      </w:r>
      <w:r w:rsidRPr="00771206">
        <w:t xml:space="preserve"> risk, though they are currently operational. None of the existing vehicles will be sold until the delivery of replacement vehicles. </w:t>
      </w:r>
    </w:p>
    <w:p w:rsidR="00190352" w:rsidP="00543073" w:rsidRDefault="00AF6727" w14:paraId="32000C7B" w14:textId="6F3EBEE3">
      <w:pPr>
        <w:pStyle w:val="ListParagraph"/>
        <w:numPr>
          <w:ilvl w:val="0"/>
          <w:numId w:val="8"/>
        </w:numPr>
      </w:pPr>
      <w:r>
        <w:t>A number of Fleet Frameworks (including but not limited to CCS (Crown Commercial Services), ESPO (Eastern Shires Purchasing Organisation</w:t>
      </w:r>
      <w:r w:rsidR="008D66AA">
        <w:t>)</w:t>
      </w:r>
      <w:r>
        <w:t xml:space="preserve">, YPO (Yorkshire Purchasing Organisation), TPPL </w:t>
      </w:r>
      <w:r w:rsidR="009623E9">
        <w:t>(The</w:t>
      </w:r>
      <w:r>
        <w:t xml:space="preserve"> Procurement Partnership) will be reviewed for potential use to establish value for money for the purchase of vehicles.</w:t>
      </w:r>
    </w:p>
    <w:p w:rsidR="00AF6727" w:rsidP="00543073" w:rsidRDefault="00AF6727" w14:paraId="63698166" w14:textId="31B213F1">
      <w:pPr>
        <w:pStyle w:val="ListParagraph"/>
        <w:numPr>
          <w:ilvl w:val="0"/>
          <w:numId w:val="8"/>
        </w:numPr>
      </w:pPr>
      <w:r>
        <w:t xml:space="preserve">The procurement team may also run </w:t>
      </w:r>
      <w:r w:rsidR="009623E9">
        <w:t>Request for Proposal or Invitation to Tender processes if the framework option does not represent value for money.</w:t>
      </w:r>
    </w:p>
    <w:p w:rsidR="008E614A" w:rsidP="00543073" w:rsidRDefault="008E614A" w14:paraId="01A7867F" w14:textId="52D3DD25">
      <w:pPr>
        <w:pStyle w:val="ListParagraph"/>
        <w:numPr>
          <w:ilvl w:val="0"/>
          <w:numId w:val="8"/>
        </w:numPr>
      </w:pPr>
      <w:r>
        <w:t xml:space="preserve">Fleet </w:t>
      </w:r>
      <w:r w:rsidR="009160AE">
        <w:t xml:space="preserve">that remain </w:t>
      </w:r>
      <w:r>
        <w:t xml:space="preserve">to be purchased within this financial year </w:t>
      </w:r>
      <w:r w:rsidR="0060432D">
        <w:t xml:space="preserve">are </w:t>
      </w:r>
      <w:r>
        <w:t>as follows</w:t>
      </w:r>
    </w:p>
    <w:tbl>
      <w:tblPr>
        <w:tblStyle w:val="TableGrid"/>
        <w:tblW w:w="0" w:type="auto"/>
        <w:tblInd w:w="720" w:type="dxa"/>
        <w:tblLook w:val="04A0" w:firstRow="1" w:lastRow="0" w:firstColumn="1" w:lastColumn="0" w:noHBand="0" w:noVBand="1"/>
      </w:tblPr>
      <w:tblGrid>
        <w:gridCol w:w="2836"/>
        <w:gridCol w:w="2851"/>
        <w:gridCol w:w="2881"/>
      </w:tblGrid>
      <w:tr w:rsidR="008E614A" w:rsidTr="008E614A" w14:paraId="0BF2402B" w14:textId="77777777">
        <w:tc>
          <w:tcPr>
            <w:tcW w:w="3096" w:type="dxa"/>
          </w:tcPr>
          <w:p w:rsidRPr="008E614A" w:rsidR="008E614A" w:rsidP="008E614A" w:rsidRDefault="008E614A" w14:paraId="79FC0B9A" w14:textId="2F308766">
            <w:pPr>
              <w:pStyle w:val="ListParagraph"/>
              <w:numPr>
                <w:ilvl w:val="0"/>
                <w:numId w:val="0"/>
              </w:numPr>
              <w:rPr>
                <w:b/>
                <w:bCs/>
              </w:rPr>
            </w:pPr>
            <w:r w:rsidRPr="008E614A">
              <w:rPr>
                <w:b/>
                <w:bCs/>
              </w:rPr>
              <w:t>Vehicle Type</w:t>
            </w:r>
          </w:p>
        </w:tc>
        <w:tc>
          <w:tcPr>
            <w:tcW w:w="3096" w:type="dxa"/>
          </w:tcPr>
          <w:p w:rsidRPr="008E614A" w:rsidR="008E614A" w:rsidP="008E614A" w:rsidRDefault="008E614A" w14:paraId="5555FCD1" w14:textId="11C4022C">
            <w:pPr>
              <w:pStyle w:val="ListParagraph"/>
              <w:numPr>
                <w:ilvl w:val="0"/>
                <w:numId w:val="0"/>
              </w:numPr>
              <w:rPr>
                <w:b/>
                <w:bCs/>
              </w:rPr>
            </w:pPr>
            <w:r w:rsidRPr="008E614A">
              <w:rPr>
                <w:b/>
                <w:bCs/>
              </w:rPr>
              <w:t>Quantity</w:t>
            </w:r>
          </w:p>
        </w:tc>
        <w:tc>
          <w:tcPr>
            <w:tcW w:w="3096" w:type="dxa"/>
          </w:tcPr>
          <w:p w:rsidRPr="008E614A" w:rsidR="008E614A" w:rsidP="008E614A" w:rsidRDefault="008E614A" w14:paraId="5ED0D117" w14:textId="73B3AFC8">
            <w:pPr>
              <w:pStyle w:val="ListParagraph"/>
              <w:numPr>
                <w:ilvl w:val="0"/>
                <w:numId w:val="0"/>
              </w:numPr>
              <w:rPr>
                <w:b/>
                <w:bCs/>
              </w:rPr>
            </w:pPr>
            <w:r w:rsidRPr="008E614A">
              <w:rPr>
                <w:b/>
                <w:bCs/>
              </w:rPr>
              <w:t>Draft price (excluding VAT)</w:t>
            </w:r>
          </w:p>
        </w:tc>
      </w:tr>
      <w:tr w:rsidR="008E614A" w:rsidTr="008E614A" w14:paraId="2DC65BD6" w14:textId="77777777">
        <w:tc>
          <w:tcPr>
            <w:tcW w:w="3096" w:type="dxa"/>
          </w:tcPr>
          <w:p w:rsidR="008E614A" w:rsidP="008E614A" w:rsidRDefault="008E614A" w14:paraId="679458CE" w14:textId="5C6B5287">
            <w:pPr>
              <w:pStyle w:val="ListParagraph"/>
              <w:numPr>
                <w:ilvl w:val="0"/>
                <w:numId w:val="0"/>
              </w:numPr>
            </w:pPr>
            <w:r>
              <w:t>Medium Van</w:t>
            </w:r>
          </w:p>
        </w:tc>
        <w:tc>
          <w:tcPr>
            <w:tcW w:w="3096" w:type="dxa"/>
          </w:tcPr>
          <w:p w:rsidR="008E614A" w:rsidP="008E614A" w:rsidRDefault="008E614A" w14:paraId="411FD6F7" w14:textId="75B4A8E3">
            <w:pPr>
              <w:pStyle w:val="ListParagraph"/>
              <w:numPr>
                <w:ilvl w:val="0"/>
                <w:numId w:val="0"/>
              </w:numPr>
            </w:pPr>
            <w:r>
              <w:t>9</w:t>
            </w:r>
          </w:p>
        </w:tc>
        <w:tc>
          <w:tcPr>
            <w:tcW w:w="3096" w:type="dxa"/>
          </w:tcPr>
          <w:p w:rsidR="008E614A" w:rsidP="008E614A" w:rsidRDefault="008E614A" w14:paraId="7D868C6E" w14:textId="1BDB2A2E">
            <w:pPr>
              <w:pStyle w:val="ListParagraph"/>
              <w:numPr>
                <w:ilvl w:val="0"/>
                <w:numId w:val="0"/>
              </w:numPr>
            </w:pPr>
            <w:r>
              <w:t>£315,000</w:t>
            </w:r>
          </w:p>
        </w:tc>
      </w:tr>
      <w:tr w:rsidR="008E614A" w:rsidTr="008E614A" w14:paraId="1BC46812" w14:textId="77777777">
        <w:tc>
          <w:tcPr>
            <w:tcW w:w="3096" w:type="dxa"/>
          </w:tcPr>
          <w:p w:rsidR="008E614A" w:rsidP="008E614A" w:rsidRDefault="008E614A" w14:paraId="2DBDEE98" w14:textId="6C28920B">
            <w:pPr>
              <w:pStyle w:val="ListParagraph"/>
              <w:numPr>
                <w:ilvl w:val="0"/>
                <w:numId w:val="0"/>
              </w:numPr>
            </w:pPr>
            <w:r>
              <w:t>Large Van</w:t>
            </w:r>
          </w:p>
        </w:tc>
        <w:tc>
          <w:tcPr>
            <w:tcW w:w="3096" w:type="dxa"/>
          </w:tcPr>
          <w:p w:rsidR="008E614A" w:rsidP="008E614A" w:rsidRDefault="008E614A" w14:paraId="6A770C7E" w14:textId="6DF87B84">
            <w:pPr>
              <w:pStyle w:val="ListParagraph"/>
              <w:numPr>
                <w:ilvl w:val="0"/>
                <w:numId w:val="0"/>
              </w:numPr>
            </w:pPr>
            <w:r>
              <w:t>14</w:t>
            </w:r>
          </w:p>
        </w:tc>
        <w:tc>
          <w:tcPr>
            <w:tcW w:w="3096" w:type="dxa"/>
          </w:tcPr>
          <w:p w:rsidR="008E614A" w:rsidP="008E614A" w:rsidRDefault="008E614A" w14:paraId="74271E5A" w14:textId="168A8C53">
            <w:pPr>
              <w:pStyle w:val="ListParagraph"/>
              <w:numPr>
                <w:ilvl w:val="0"/>
                <w:numId w:val="0"/>
              </w:numPr>
            </w:pPr>
            <w:r>
              <w:t>£560,000</w:t>
            </w:r>
          </w:p>
        </w:tc>
      </w:tr>
      <w:tr w:rsidR="008E614A" w:rsidTr="008E614A" w14:paraId="788DA2EE" w14:textId="77777777">
        <w:tc>
          <w:tcPr>
            <w:tcW w:w="3096" w:type="dxa"/>
          </w:tcPr>
          <w:p w:rsidR="008E614A" w:rsidP="008E614A" w:rsidRDefault="008E614A" w14:paraId="58D93A4D" w14:textId="3BFC6371">
            <w:pPr>
              <w:pStyle w:val="ListParagraph"/>
              <w:numPr>
                <w:ilvl w:val="0"/>
                <w:numId w:val="0"/>
              </w:numPr>
            </w:pPr>
            <w:r>
              <w:t>Luton Van</w:t>
            </w:r>
          </w:p>
        </w:tc>
        <w:tc>
          <w:tcPr>
            <w:tcW w:w="3096" w:type="dxa"/>
          </w:tcPr>
          <w:p w:rsidR="008E614A" w:rsidP="008E614A" w:rsidRDefault="008E614A" w14:paraId="209E8BEB" w14:textId="5C7FC595">
            <w:pPr>
              <w:pStyle w:val="ListParagraph"/>
              <w:numPr>
                <w:ilvl w:val="0"/>
                <w:numId w:val="0"/>
              </w:numPr>
            </w:pPr>
            <w:r>
              <w:t>2</w:t>
            </w:r>
          </w:p>
        </w:tc>
        <w:tc>
          <w:tcPr>
            <w:tcW w:w="3096" w:type="dxa"/>
          </w:tcPr>
          <w:p w:rsidR="008E614A" w:rsidP="008E614A" w:rsidRDefault="008E614A" w14:paraId="7D6A7814" w14:textId="1B499D44">
            <w:pPr>
              <w:pStyle w:val="ListParagraph"/>
              <w:numPr>
                <w:ilvl w:val="0"/>
                <w:numId w:val="0"/>
              </w:numPr>
            </w:pPr>
            <w:r>
              <w:t>£90,000</w:t>
            </w:r>
          </w:p>
        </w:tc>
      </w:tr>
      <w:tr w:rsidR="008E614A" w:rsidTr="008E614A" w14:paraId="534840E2" w14:textId="77777777">
        <w:tc>
          <w:tcPr>
            <w:tcW w:w="3096" w:type="dxa"/>
          </w:tcPr>
          <w:p w:rsidR="008E614A" w:rsidP="008E614A" w:rsidRDefault="008E614A" w14:paraId="6CB0747A" w14:textId="0125BA41">
            <w:pPr>
              <w:pStyle w:val="ListParagraph"/>
              <w:numPr>
                <w:ilvl w:val="0"/>
                <w:numId w:val="0"/>
              </w:numPr>
            </w:pPr>
            <w:r>
              <w:t>7.5t Box Lorry</w:t>
            </w:r>
          </w:p>
        </w:tc>
        <w:tc>
          <w:tcPr>
            <w:tcW w:w="3096" w:type="dxa"/>
          </w:tcPr>
          <w:p w:rsidR="008E614A" w:rsidP="008E614A" w:rsidRDefault="008E614A" w14:paraId="48715B70" w14:textId="1F670FC1">
            <w:pPr>
              <w:pStyle w:val="ListParagraph"/>
              <w:numPr>
                <w:ilvl w:val="0"/>
                <w:numId w:val="0"/>
              </w:numPr>
            </w:pPr>
            <w:r>
              <w:t>1</w:t>
            </w:r>
          </w:p>
        </w:tc>
        <w:tc>
          <w:tcPr>
            <w:tcW w:w="3096" w:type="dxa"/>
          </w:tcPr>
          <w:p w:rsidR="008E614A" w:rsidP="008E614A" w:rsidRDefault="008E614A" w14:paraId="3FCDBFEA" w14:textId="653161C0">
            <w:pPr>
              <w:pStyle w:val="ListParagraph"/>
              <w:numPr>
                <w:ilvl w:val="0"/>
                <w:numId w:val="0"/>
              </w:numPr>
            </w:pPr>
            <w:r>
              <w:t>£55,000</w:t>
            </w:r>
          </w:p>
        </w:tc>
      </w:tr>
      <w:tr w:rsidR="008E614A" w:rsidTr="008E614A" w14:paraId="3A9CA106" w14:textId="77777777">
        <w:tc>
          <w:tcPr>
            <w:tcW w:w="3096" w:type="dxa"/>
          </w:tcPr>
          <w:p w:rsidR="008E614A" w:rsidP="008E614A" w:rsidRDefault="008E614A" w14:paraId="15EE05E1" w14:textId="6F627287">
            <w:pPr>
              <w:pStyle w:val="ListParagraph"/>
              <w:numPr>
                <w:ilvl w:val="0"/>
                <w:numId w:val="0"/>
              </w:numPr>
            </w:pPr>
            <w:r>
              <w:t>Tippers</w:t>
            </w:r>
          </w:p>
        </w:tc>
        <w:tc>
          <w:tcPr>
            <w:tcW w:w="3096" w:type="dxa"/>
          </w:tcPr>
          <w:p w:rsidR="008E614A" w:rsidP="008E614A" w:rsidRDefault="008E614A" w14:paraId="6764522A" w14:textId="146EBE80">
            <w:pPr>
              <w:pStyle w:val="ListParagraph"/>
              <w:numPr>
                <w:ilvl w:val="0"/>
                <w:numId w:val="0"/>
              </w:numPr>
            </w:pPr>
            <w:r>
              <w:t>29</w:t>
            </w:r>
          </w:p>
        </w:tc>
        <w:tc>
          <w:tcPr>
            <w:tcW w:w="3096" w:type="dxa"/>
          </w:tcPr>
          <w:p w:rsidR="008E614A" w:rsidP="008E614A" w:rsidRDefault="008E614A" w14:paraId="0EB115C3" w14:textId="2373F7FC">
            <w:pPr>
              <w:pStyle w:val="ListParagraph"/>
              <w:numPr>
                <w:ilvl w:val="0"/>
                <w:numId w:val="0"/>
              </w:numPr>
            </w:pPr>
            <w:r>
              <w:t>£1,218.000</w:t>
            </w:r>
          </w:p>
        </w:tc>
      </w:tr>
      <w:tr w:rsidR="008E614A" w:rsidTr="008E614A" w14:paraId="039BAAAD" w14:textId="77777777">
        <w:tc>
          <w:tcPr>
            <w:tcW w:w="3096" w:type="dxa"/>
          </w:tcPr>
          <w:p w:rsidR="008E614A" w:rsidP="008E614A" w:rsidRDefault="008E614A" w14:paraId="10C72173" w14:textId="3D177D68">
            <w:pPr>
              <w:pStyle w:val="ListParagraph"/>
              <w:numPr>
                <w:ilvl w:val="0"/>
                <w:numId w:val="0"/>
              </w:numPr>
            </w:pPr>
            <w:r>
              <w:t>Cars</w:t>
            </w:r>
          </w:p>
        </w:tc>
        <w:tc>
          <w:tcPr>
            <w:tcW w:w="3096" w:type="dxa"/>
          </w:tcPr>
          <w:p w:rsidR="008E614A" w:rsidP="008E614A" w:rsidRDefault="008E614A" w14:paraId="425AE6EF" w14:textId="4932D6BF">
            <w:pPr>
              <w:pStyle w:val="ListParagraph"/>
              <w:numPr>
                <w:ilvl w:val="0"/>
                <w:numId w:val="0"/>
              </w:numPr>
            </w:pPr>
            <w:r>
              <w:t>3</w:t>
            </w:r>
          </w:p>
        </w:tc>
        <w:tc>
          <w:tcPr>
            <w:tcW w:w="3096" w:type="dxa"/>
          </w:tcPr>
          <w:p w:rsidR="008E614A" w:rsidP="008E614A" w:rsidRDefault="008E614A" w14:paraId="345A3478" w14:textId="650D32B3">
            <w:pPr>
              <w:pStyle w:val="ListParagraph"/>
              <w:numPr>
                <w:ilvl w:val="0"/>
                <w:numId w:val="0"/>
              </w:numPr>
            </w:pPr>
            <w:r>
              <w:t>£</w:t>
            </w:r>
            <w:r w:rsidR="008D66AA">
              <w:t>71,000</w:t>
            </w:r>
          </w:p>
        </w:tc>
      </w:tr>
      <w:tr w:rsidR="008E614A" w:rsidTr="008E614A" w14:paraId="54933F04" w14:textId="77777777">
        <w:tc>
          <w:tcPr>
            <w:tcW w:w="3096" w:type="dxa"/>
          </w:tcPr>
          <w:p w:rsidR="008E614A" w:rsidP="008E614A" w:rsidRDefault="008D66AA" w14:paraId="5988973F" w14:textId="0B02C605">
            <w:pPr>
              <w:pStyle w:val="ListParagraph"/>
              <w:numPr>
                <w:ilvl w:val="0"/>
                <w:numId w:val="0"/>
              </w:numPr>
            </w:pPr>
            <w:r>
              <w:t>4x4 Pick Up</w:t>
            </w:r>
          </w:p>
        </w:tc>
        <w:tc>
          <w:tcPr>
            <w:tcW w:w="3096" w:type="dxa"/>
          </w:tcPr>
          <w:p w:rsidR="008E614A" w:rsidP="008E614A" w:rsidRDefault="008D66AA" w14:paraId="681F3828" w14:textId="04735C80">
            <w:pPr>
              <w:pStyle w:val="ListParagraph"/>
              <w:numPr>
                <w:ilvl w:val="0"/>
                <w:numId w:val="0"/>
              </w:numPr>
            </w:pPr>
            <w:r>
              <w:t>4</w:t>
            </w:r>
          </w:p>
        </w:tc>
        <w:tc>
          <w:tcPr>
            <w:tcW w:w="3096" w:type="dxa"/>
          </w:tcPr>
          <w:p w:rsidR="008E614A" w:rsidP="008E614A" w:rsidRDefault="008D66AA" w14:paraId="10BA426E" w14:textId="68D819BB">
            <w:pPr>
              <w:pStyle w:val="ListParagraph"/>
              <w:numPr>
                <w:ilvl w:val="0"/>
                <w:numId w:val="0"/>
              </w:numPr>
            </w:pPr>
            <w:r>
              <w:t>£200,000</w:t>
            </w:r>
          </w:p>
        </w:tc>
      </w:tr>
    </w:tbl>
    <w:p w:rsidR="008E614A" w:rsidP="008D66AA" w:rsidRDefault="008E614A" w14:paraId="3736B3CB" w14:textId="77777777">
      <w:pPr>
        <w:pStyle w:val="ListParagraph"/>
        <w:numPr>
          <w:ilvl w:val="0"/>
          <w:numId w:val="0"/>
        </w:numPr>
        <w:ind w:left="720"/>
      </w:pPr>
    </w:p>
    <w:p w:rsidRPr="002D7BFC" w:rsidR="00345C8E" w:rsidP="00345C8E" w:rsidRDefault="00345C8E" w14:paraId="73346ED1" w14:textId="1153CF57">
      <w:pPr>
        <w:pStyle w:val="Heading1"/>
        <w:rPr>
          <w:bCs/>
        </w:rPr>
      </w:pPr>
      <w:r w:rsidRPr="002D7BFC">
        <w:rPr>
          <w:bCs/>
        </w:rPr>
        <w:t>Contract Rules Compliance and Financial Assessment</w:t>
      </w:r>
    </w:p>
    <w:p w:rsidRPr="003E053E" w:rsidR="00345C8E" w:rsidP="003E053E" w:rsidRDefault="009623E9" w14:paraId="3D8C4043" w14:textId="44D0302B">
      <w:pPr>
        <w:pStyle w:val="ListParagraph"/>
        <w:numPr>
          <w:ilvl w:val="0"/>
          <w:numId w:val="8"/>
        </w:numPr>
        <w:rPr>
          <w:color w:val="000000" w:themeColor="text1"/>
        </w:rPr>
      </w:pPr>
      <w:r>
        <w:t xml:space="preserve">All procurements will be undertaken in </w:t>
      </w:r>
      <w:r w:rsidR="00345C8E">
        <w:t>accordance with</w:t>
      </w:r>
      <w:r w:rsidR="009960D7">
        <w:t xml:space="preserve"> the Public Procurement Regulations</w:t>
      </w:r>
      <w:r w:rsidR="00345C8E">
        <w:t xml:space="preserve"> </w:t>
      </w:r>
      <w:r w:rsidR="009960D7">
        <w:t xml:space="preserve">and </w:t>
      </w:r>
      <w:r w:rsidR="00345C8E">
        <w:t>OCC procurement policies</w:t>
      </w:r>
      <w:r w:rsidR="00863DDA">
        <w:t xml:space="preserve"> and </w:t>
      </w:r>
      <w:r w:rsidR="009960D7">
        <w:t>the Council’s C</w:t>
      </w:r>
      <w:r w:rsidR="00863DDA">
        <w:t>onstitution</w:t>
      </w:r>
      <w:r w:rsidR="00345C8E">
        <w:t xml:space="preserve">. </w:t>
      </w:r>
      <w:r>
        <w:t>All vehicle p</w:t>
      </w:r>
      <w:r w:rsidR="00345C8E">
        <w:t>rocurement falls under the Vehicle Capital Replacement Programme. The budget is allocated from OCC Finance and monitored via Smartsheet to the City Council Capital Monitoring Board.</w:t>
      </w:r>
    </w:p>
    <w:p w:rsidR="002312EA" w:rsidP="002B6836" w:rsidRDefault="002312EA" w14:paraId="70635196" w14:textId="298A5F7F">
      <w:pPr>
        <w:pStyle w:val="Heading1"/>
      </w:pPr>
      <w:r>
        <w:t xml:space="preserve">Alternative Options Considered </w:t>
      </w:r>
    </w:p>
    <w:p w:rsidRPr="009960D7" w:rsidR="002312EA" w:rsidP="003E053E" w:rsidRDefault="009623E9" w14:paraId="5556DAA0" w14:textId="53F146B1">
      <w:pPr>
        <w:pStyle w:val="ListParagraph"/>
        <w:numPr>
          <w:ilvl w:val="0"/>
          <w:numId w:val="8"/>
        </w:numPr>
      </w:pPr>
      <w:r>
        <w:t>N/A</w:t>
      </w:r>
    </w:p>
    <w:p w:rsidRPr="002B6836" w:rsidR="0040736F" w:rsidP="002B6836" w:rsidRDefault="002329CF" w14:paraId="11308776" w14:textId="77777777">
      <w:pPr>
        <w:pStyle w:val="Heading1"/>
      </w:pPr>
      <w:r>
        <w:t>Financial implications</w:t>
      </w:r>
    </w:p>
    <w:p w:rsidR="27EEE55C" w:rsidP="003E053E" w:rsidRDefault="27EEE55C" w14:paraId="4C7F0177" w14:textId="713CAA87">
      <w:pPr>
        <w:pStyle w:val="ListParagraph"/>
        <w:numPr>
          <w:ilvl w:val="0"/>
          <w:numId w:val="8"/>
        </w:numPr>
        <w:rPr>
          <w:color w:val="000000" w:themeColor="text1"/>
        </w:rPr>
      </w:pPr>
      <w:r>
        <w:t xml:space="preserve">The fleet vehicle budget is approved within the capital budget provision for the vehicle replacement programme by Council in February each year. The last approval for this financial year 2025 – 2026 was made in February </w:t>
      </w:r>
      <w:commentRangeStart w:id="0"/>
      <w:r>
        <w:t>2025</w:t>
      </w:r>
      <w:commentRangeEnd w:id="0"/>
      <w:r>
        <w:rPr>
          <w:rStyle w:val="CommentReference"/>
        </w:rPr>
        <w:commentReference w:id="0"/>
      </w:r>
      <w:r>
        <w:t xml:space="preserve"> in the sum of £3.5million. </w:t>
      </w:r>
    </w:p>
    <w:p w:rsidRPr="009960D7" w:rsidR="00A41303" w:rsidP="003E053E" w:rsidRDefault="00A41303" w14:paraId="6D00A2DD" w14:textId="6A31CF30">
      <w:pPr>
        <w:pStyle w:val="ListParagraph"/>
        <w:numPr>
          <w:ilvl w:val="0"/>
          <w:numId w:val="8"/>
        </w:numPr>
      </w:pPr>
      <w:r>
        <w:lastRenderedPageBreak/>
        <w:t>The budget for the replacement of fleet vehicles together with the leasing repayment</w:t>
      </w:r>
      <w:r w:rsidR="00871B5F">
        <w:t xml:space="preserve">s are included within the Council’s revenue and capital programmes. ODSL will be responsible for the leasing payments to the Council as well as the running costs in relation to the </w:t>
      </w:r>
      <w:r w:rsidR="00CA10D8">
        <w:t>vehicles</w:t>
      </w:r>
      <w:r w:rsidR="00871B5F">
        <w:t>.</w:t>
      </w:r>
    </w:p>
    <w:p w:rsidRPr="001356F1" w:rsidR="0040736F" w:rsidP="004A6D2F" w:rsidRDefault="00DA614B" w14:paraId="06827778" w14:textId="77777777">
      <w:pPr>
        <w:pStyle w:val="Heading1"/>
      </w:pPr>
      <w:r w:rsidRPr="001356F1">
        <w:t>Legal issues</w:t>
      </w:r>
    </w:p>
    <w:p w:rsidR="007D1A3A" w:rsidP="007D1A3A" w:rsidRDefault="007D1A3A" w14:paraId="5F843CE8" w14:textId="77777777">
      <w:pPr>
        <w:pStyle w:val="ListParagraph"/>
        <w:numPr>
          <w:ilvl w:val="0"/>
          <w:numId w:val="0"/>
        </w:numPr>
        <w:ind w:left="720"/>
      </w:pPr>
    </w:p>
    <w:p w:rsidR="007D1A3A" w:rsidP="00506DE6" w:rsidRDefault="007D1A3A" w14:paraId="6F216BD7" w14:textId="639911CB">
      <w:pPr>
        <w:pStyle w:val="ListParagraph"/>
        <w:numPr>
          <w:ilvl w:val="0"/>
          <w:numId w:val="8"/>
        </w:numPr>
        <w:spacing w:after="0"/>
      </w:pPr>
      <w:r>
        <w:t xml:space="preserve">Under Part 4.5 (11) and Rule 19 (17) of the Constitution Cabinet is responsible for the  award of contracts valued at £750,000 and over. Under section 9E (3) (c) of the Local Government Act 2000 Cabinet is empowered to delegate its functions to officers. </w:t>
      </w:r>
    </w:p>
    <w:p w:rsidR="007D1A3A" w:rsidP="00506DE6" w:rsidRDefault="007D1A3A" w14:paraId="703315F5" w14:textId="77777777">
      <w:pPr>
        <w:pStyle w:val="ListParagraph"/>
        <w:numPr>
          <w:ilvl w:val="0"/>
          <w:numId w:val="0"/>
        </w:numPr>
        <w:spacing w:after="0"/>
        <w:ind w:left="720"/>
        <w:jc w:val="both"/>
      </w:pPr>
    </w:p>
    <w:p w:rsidR="007D1A3A" w:rsidP="00506DE6" w:rsidRDefault="007D1A3A" w14:paraId="54279AD0" w14:textId="24FEF300">
      <w:pPr>
        <w:pStyle w:val="ListParagraph"/>
        <w:numPr>
          <w:ilvl w:val="0"/>
          <w:numId w:val="8"/>
        </w:numPr>
        <w:spacing w:after="0"/>
      </w:pPr>
      <w:r>
        <w:t xml:space="preserve">The purchase of vehicles needs to comply with Part 19 of the Council’s constitution. Where the estimated spend under a contract for the purchase of vehicles is in excess of the applicable threshold under the Procurement Act 2023 the procurement exercise must comply with the act. Legal services can support and advise on the procurement process and provide the contract documentation if needed. </w:t>
      </w:r>
    </w:p>
    <w:p w:rsidR="00506DE6" w:rsidP="00506DE6" w:rsidRDefault="00506DE6" w14:paraId="1A88895D" w14:textId="77777777">
      <w:pPr>
        <w:pStyle w:val="ListParagraph"/>
        <w:numPr>
          <w:ilvl w:val="0"/>
          <w:numId w:val="0"/>
        </w:numPr>
        <w:spacing w:after="0"/>
        <w:ind w:left="720"/>
        <w:jc w:val="both"/>
      </w:pPr>
    </w:p>
    <w:p w:rsidR="007D1A3A" w:rsidP="00506DE6" w:rsidRDefault="007D1A3A" w14:paraId="5A046B27" w14:textId="77777777">
      <w:pPr>
        <w:pStyle w:val="ListParagraph"/>
        <w:numPr>
          <w:ilvl w:val="0"/>
          <w:numId w:val="8"/>
        </w:numPr>
      </w:pPr>
      <w:r>
        <w:t xml:space="preserve">Any decision taken under the proposed delegation (to award a contract of £750,000 or greater) will be a Key Decision and will need to comply with the procedure for taking Key Decisions set out in the Council’s Constitution. </w:t>
      </w:r>
    </w:p>
    <w:p w:rsidRPr="006153A7" w:rsidR="00860BDA" w:rsidP="00506DE6" w:rsidRDefault="00860BDA" w14:paraId="012AF96D" w14:textId="4E36E79D">
      <w:pPr>
        <w:pStyle w:val="ListParagraph"/>
        <w:numPr>
          <w:ilvl w:val="0"/>
          <w:numId w:val="8"/>
        </w:numPr>
      </w:pPr>
      <w:r>
        <w:t>The Council must ensure that the</w:t>
      </w:r>
      <w:r w:rsidR="002738B1">
        <w:t xml:space="preserve"> proposed</w:t>
      </w:r>
      <w:r>
        <w:t xml:space="preserve"> leasing is compliant with the applicable Subsidy Control requirements and legal advice </w:t>
      </w:r>
      <w:r w:rsidR="00912239">
        <w:t xml:space="preserve">must </w:t>
      </w:r>
      <w:r>
        <w:t xml:space="preserve">be sought where necessary. </w:t>
      </w:r>
    </w:p>
    <w:p w:rsidRPr="001356F1" w:rsidR="002329CF" w:rsidP="004A6D2F" w:rsidRDefault="002329CF" w14:paraId="39265579" w14:textId="77777777">
      <w:pPr>
        <w:pStyle w:val="Heading1"/>
      </w:pPr>
      <w:r w:rsidRPr="001356F1">
        <w:t>Level of risk</w:t>
      </w:r>
    </w:p>
    <w:p w:rsidRPr="009960D7" w:rsidR="00BC69A4" w:rsidP="003E053E" w:rsidRDefault="009960D7" w14:paraId="0EA9CFE9" w14:textId="06AB5DCC">
      <w:pPr>
        <w:pStyle w:val="ListParagraph"/>
        <w:numPr>
          <w:ilvl w:val="0"/>
          <w:numId w:val="8"/>
        </w:numPr>
      </w:pPr>
      <w:r>
        <w:t>To not replace life expired vehicles will impact on the ability of ODSL to deliver effective services.</w:t>
      </w:r>
    </w:p>
    <w:p w:rsidR="4DDA36AE" w:rsidP="003E053E" w:rsidRDefault="4DDA36AE" w14:paraId="5E05B321" w14:textId="3495AE2B">
      <w:pPr>
        <w:pStyle w:val="ListParagraph"/>
        <w:numPr>
          <w:ilvl w:val="0"/>
          <w:numId w:val="8"/>
        </w:numPr>
        <w:rPr>
          <w:color w:val="000000" w:themeColor="text1"/>
        </w:rPr>
      </w:pPr>
      <w:r>
        <w:t>The delay in the procurement of the vehicles increase the risk of additional costs to ODS</w:t>
      </w:r>
      <w:r w:rsidR="008D66AA">
        <w:t>L</w:t>
      </w:r>
      <w:r>
        <w:t xml:space="preserve"> should they need to hire replacement vehicles before the replacement of the aging fleet.</w:t>
      </w:r>
    </w:p>
    <w:p w:rsidRPr="001356F1" w:rsidR="002329CF" w:rsidP="0050321C" w:rsidRDefault="002329CF" w14:paraId="2399E607" w14:textId="77777777">
      <w:pPr>
        <w:pStyle w:val="Heading1"/>
      </w:pPr>
      <w:r w:rsidRPr="001356F1">
        <w:t xml:space="preserve">Equalities impact </w:t>
      </w:r>
    </w:p>
    <w:p w:rsidRPr="00A50383" w:rsidR="00FB3B71" w:rsidP="003E053E" w:rsidRDefault="006153A7" w14:paraId="621A5FDA" w14:textId="3C6C710E">
      <w:pPr>
        <w:pStyle w:val="ListParagraph"/>
        <w:numPr>
          <w:ilvl w:val="0"/>
          <w:numId w:val="8"/>
        </w:numPr>
      </w:pPr>
      <w:bookmarkStart w:name="_Hlk184712181" w:id="1"/>
      <w:r>
        <w:t>Not applicable</w:t>
      </w:r>
    </w:p>
    <w:bookmarkEnd w:id="1"/>
    <w:p w:rsidRPr="00FB3B71" w:rsidR="00FB3B71" w:rsidP="00770DD5" w:rsidRDefault="00FB3B71" w14:paraId="28DC08B6" w14:textId="77777777">
      <w:pPr>
        <w:pStyle w:val="bParagraphtext"/>
        <w:numPr>
          <w:ilvl w:val="0"/>
          <w:numId w:val="0"/>
        </w:numPr>
        <w:rPr>
          <w:b/>
        </w:rPr>
      </w:pPr>
    </w:p>
    <w:p w:rsidR="00FB3B71" w:rsidP="00FB3B71" w:rsidRDefault="00950824" w14:paraId="1C46F1C8" w14:textId="77777777">
      <w:pPr>
        <w:pStyle w:val="bParagraphtext"/>
        <w:numPr>
          <w:ilvl w:val="0"/>
          <w:numId w:val="0"/>
        </w:numPr>
      </w:pPr>
      <w:bookmarkStart w:name="_Hlk184712246" w:id="2"/>
      <w:r>
        <w:rPr>
          <w:b/>
        </w:rPr>
        <w:t>Carbon and Environmental Considerations</w:t>
      </w:r>
      <w:r w:rsidRPr="00FB3B71" w:rsidR="00FB3B71">
        <w:rPr>
          <w:b/>
        </w:rPr>
        <w:t xml:space="preserve"> </w:t>
      </w:r>
    </w:p>
    <w:bookmarkEnd w:id="2"/>
    <w:p w:rsidRPr="00393DBE" w:rsidR="00FB3B71" w:rsidP="003E053E" w:rsidRDefault="002C7990" w14:paraId="31DA3D9A" w14:textId="0B4E0B26">
      <w:pPr>
        <w:pStyle w:val="ListParagraph"/>
        <w:numPr>
          <w:ilvl w:val="0"/>
          <w:numId w:val="8"/>
        </w:numPr>
      </w:pPr>
      <w:r>
        <w:t>Investigations</w:t>
      </w:r>
      <w:r w:rsidR="00A17B6D">
        <w:t xml:space="preserve"> are being made by </w:t>
      </w:r>
      <w:r>
        <w:t>the fleet team</w:t>
      </w:r>
      <w:r w:rsidR="00A17B6D">
        <w:t xml:space="preserve"> and the Council</w:t>
      </w:r>
      <w:r>
        <w:t>’</w:t>
      </w:r>
      <w:r w:rsidR="00A17B6D">
        <w:t>s Sustainability team</w:t>
      </w:r>
      <w:r w:rsidR="00393DBE">
        <w:t>.</w:t>
      </w:r>
    </w:p>
    <w:p w:rsidRPr="001356F1" w:rsidR="00E206D6" w:rsidP="00E206D6" w:rsidRDefault="00E206D6" w14:paraId="1C3EE284" w14:textId="77777777">
      <w:pPr>
        <w:pStyle w:val="ListParagraph"/>
        <w:numPr>
          <w:ilvl w:val="0"/>
          <w:numId w:val="0"/>
        </w:numPr>
        <w:ind w:left="426"/>
      </w:pPr>
    </w:p>
    <w:p w:rsidRPr="001356F1" w:rsidR="002329CF" w:rsidP="004A6D2F" w:rsidRDefault="002329CF" w14:paraId="3384B174" w14:textId="77777777"/>
    <w:tbl>
      <w:tblPr>
        <w:tblW w:w="0" w:type="auto"/>
        <w:tblInd w:w="108" w:type="dxa"/>
        <w:tblBorders>
          <w:top w:val="single" w:color="C0504D" w:sz="4" w:space="0"/>
          <w:left w:val="single" w:color="C0504D" w:sz="4" w:space="0"/>
          <w:bottom w:val="single" w:color="C0504D" w:sz="4" w:space="0"/>
          <w:right w:val="single" w:color="C0504D" w:sz="4" w:space="0"/>
        </w:tblBorders>
        <w:tblLook w:val="04A0" w:firstRow="1" w:lastRow="0" w:firstColumn="1" w:lastColumn="0" w:noHBand="0" w:noVBand="1"/>
      </w:tblPr>
      <w:tblGrid>
        <w:gridCol w:w="3969"/>
        <w:gridCol w:w="4962"/>
      </w:tblGrid>
      <w:tr w:rsidRPr="001356F1" w:rsidR="00DF093E" w:rsidTr="00A46E98" w14:paraId="0FA94296" w14:textId="77777777">
        <w:trPr>
          <w:cantSplit/>
          <w:trHeight w:val="396"/>
        </w:trPr>
        <w:tc>
          <w:tcPr>
            <w:tcW w:w="3969" w:type="dxa"/>
            <w:tcBorders>
              <w:top w:val="single" w:color="000000" w:sz="8" w:space="0"/>
              <w:left w:val="single" w:color="000000" w:sz="8" w:space="0"/>
              <w:bottom w:val="single" w:color="000000" w:sz="8" w:space="0"/>
              <w:right w:val="nil"/>
            </w:tcBorders>
          </w:tcPr>
          <w:p w:rsidRPr="001356F1" w:rsidR="00E87F7A" w:rsidP="00A46E98" w:rsidRDefault="00E87F7A" w14:paraId="04987E45" w14:textId="77777777">
            <w:pPr>
              <w:rPr>
                <w:b/>
              </w:rPr>
            </w:pPr>
            <w:r w:rsidRPr="001356F1">
              <w:rPr>
                <w:b/>
              </w:rPr>
              <w:t>Report author</w:t>
            </w:r>
          </w:p>
        </w:tc>
        <w:tc>
          <w:tcPr>
            <w:tcW w:w="4962" w:type="dxa"/>
            <w:tcBorders>
              <w:top w:val="single" w:color="000000" w:sz="8" w:space="0"/>
              <w:left w:val="nil"/>
              <w:bottom w:val="single" w:color="000000" w:sz="8" w:space="0"/>
              <w:right w:val="single" w:color="000000" w:sz="8" w:space="0"/>
            </w:tcBorders>
          </w:tcPr>
          <w:p w:rsidRPr="001356F1" w:rsidR="00E87F7A" w:rsidP="00A46E98" w:rsidRDefault="00840A55" w14:paraId="6930C959" w14:textId="707D14D1">
            <w:r>
              <w:t>Annette Osborne</w:t>
            </w:r>
          </w:p>
        </w:tc>
      </w:tr>
      <w:tr w:rsidRPr="001356F1" w:rsidR="00DF093E" w:rsidTr="00A46E98" w14:paraId="07A5B9C2" w14:textId="77777777">
        <w:trPr>
          <w:cantSplit/>
          <w:trHeight w:val="396"/>
        </w:trPr>
        <w:tc>
          <w:tcPr>
            <w:tcW w:w="3969" w:type="dxa"/>
            <w:tcBorders>
              <w:top w:val="single" w:color="000000" w:sz="8" w:space="0"/>
              <w:left w:val="single" w:color="000000" w:sz="8" w:space="0"/>
              <w:bottom w:val="nil"/>
              <w:right w:val="nil"/>
            </w:tcBorders>
          </w:tcPr>
          <w:p w:rsidRPr="001356F1" w:rsidR="00E87F7A" w:rsidP="00A46E98" w:rsidRDefault="00E87F7A" w14:paraId="6B6C3381" w14:textId="77777777">
            <w:r w:rsidRPr="001356F1">
              <w:t>Job title</w:t>
            </w:r>
          </w:p>
        </w:tc>
        <w:tc>
          <w:tcPr>
            <w:tcW w:w="4962" w:type="dxa"/>
            <w:tcBorders>
              <w:top w:val="single" w:color="000000" w:sz="8" w:space="0"/>
              <w:left w:val="nil"/>
              <w:bottom w:val="nil"/>
              <w:right w:val="single" w:color="000000" w:sz="8" w:space="0"/>
            </w:tcBorders>
          </w:tcPr>
          <w:p w:rsidRPr="001356F1" w:rsidR="00E87F7A" w:rsidP="00A46E98" w:rsidRDefault="00840A55" w14:paraId="3100D2DA" w14:textId="4A99289E">
            <w:r>
              <w:t>Strategic Procurement Manager</w:t>
            </w:r>
          </w:p>
        </w:tc>
      </w:tr>
      <w:tr w:rsidRPr="001356F1" w:rsidR="00DF093E" w:rsidTr="00A46E98" w14:paraId="6DEB5543" w14:textId="77777777">
        <w:trPr>
          <w:cantSplit/>
          <w:trHeight w:val="396"/>
        </w:trPr>
        <w:tc>
          <w:tcPr>
            <w:tcW w:w="3969" w:type="dxa"/>
            <w:tcBorders>
              <w:top w:val="nil"/>
              <w:left w:val="single" w:color="000000" w:sz="8" w:space="0"/>
              <w:bottom w:val="nil"/>
              <w:right w:val="nil"/>
            </w:tcBorders>
          </w:tcPr>
          <w:p w:rsidRPr="001356F1" w:rsidR="00E87F7A" w:rsidP="00A46E98" w:rsidRDefault="00E87F7A" w14:paraId="7BD402AB" w14:textId="77777777">
            <w:r w:rsidRPr="001356F1">
              <w:t>Service area or department</w:t>
            </w:r>
          </w:p>
        </w:tc>
        <w:tc>
          <w:tcPr>
            <w:tcW w:w="4962" w:type="dxa"/>
            <w:tcBorders>
              <w:top w:val="nil"/>
              <w:left w:val="nil"/>
              <w:bottom w:val="nil"/>
              <w:right w:val="single" w:color="000000" w:sz="8" w:space="0"/>
            </w:tcBorders>
          </w:tcPr>
          <w:p w:rsidRPr="001356F1" w:rsidR="00E87F7A" w:rsidP="00A46E98" w:rsidRDefault="00840A55" w14:paraId="0F7746FF" w14:textId="7C5F52B2">
            <w:r>
              <w:t>Finance</w:t>
            </w:r>
          </w:p>
        </w:tc>
      </w:tr>
      <w:tr w:rsidRPr="001356F1" w:rsidR="00DF093E" w:rsidTr="00A46E98" w14:paraId="572FB489" w14:textId="77777777">
        <w:trPr>
          <w:cantSplit/>
          <w:trHeight w:val="396"/>
        </w:trPr>
        <w:tc>
          <w:tcPr>
            <w:tcW w:w="3969" w:type="dxa"/>
            <w:tcBorders>
              <w:top w:val="nil"/>
              <w:left w:val="single" w:color="000000" w:sz="8" w:space="0"/>
              <w:bottom w:val="nil"/>
              <w:right w:val="nil"/>
            </w:tcBorders>
          </w:tcPr>
          <w:p w:rsidRPr="001356F1" w:rsidR="00E87F7A" w:rsidP="00A46E98" w:rsidRDefault="00E87F7A" w14:paraId="7832E71E" w14:textId="77777777">
            <w:r w:rsidRPr="001356F1">
              <w:lastRenderedPageBreak/>
              <w:t xml:space="preserve">Telephone </w:t>
            </w:r>
          </w:p>
        </w:tc>
        <w:tc>
          <w:tcPr>
            <w:tcW w:w="4962" w:type="dxa"/>
            <w:tcBorders>
              <w:top w:val="nil"/>
              <w:left w:val="nil"/>
              <w:bottom w:val="nil"/>
              <w:right w:val="single" w:color="000000" w:sz="8" w:space="0"/>
            </w:tcBorders>
          </w:tcPr>
          <w:p w:rsidRPr="001356F1" w:rsidR="00E87F7A" w:rsidP="00A46E98" w:rsidRDefault="00E87F7A" w14:paraId="53D96CCC" w14:textId="7737E932">
            <w:r w:rsidRPr="001356F1">
              <w:t xml:space="preserve">01865 </w:t>
            </w:r>
            <w:r w:rsidR="003527ED">
              <w:t>097035</w:t>
            </w:r>
            <w:r w:rsidRPr="001356F1">
              <w:t xml:space="preserve"> </w:t>
            </w:r>
          </w:p>
        </w:tc>
      </w:tr>
      <w:tr w:rsidRPr="001356F1" w:rsidR="005570B5" w:rsidTr="00A46E98" w14:paraId="40AEFD69" w14:textId="77777777">
        <w:trPr>
          <w:cantSplit/>
          <w:trHeight w:val="396"/>
        </w:trPr>
        <w:tc>
          <w:tcPr>
            <w:tcW w:w="3969" w:type="dxa"/>
            <w:tcBorders>
              <w:top w:val="nil"/>
              <w:left w:val="single" w:color="000000" w:sz="8" w:space="0"/>
              <w:bottom w:val="single" w:color="000000" w:sz="8" w:space="0"/>
              <w:right w:val="nil"/>
            </w:tcBorders>
          </w:tcPr>
          <w:p w:rsidRPr="001356F1" w:rsidR="00E87F7A" w:rsidP="00A46E98" w:rsidRDefault="00E87F7A" w14:paraId="5C2DD139" w14:textId="77777777">
            <w:r w:rsidRPr="001356F1">
              <w:t xml:space="preserve">e-mail </w:t>
            </w:r>
          </w:p>
        </w:tc>
        <w:tc>
          <w:tcPr>
            <w:tcW w:w="4962" w:type="dxa"/>
            <w:tcBorders>
              <w:top w:val="nil"/>
              <w:left w:val="nil"/>
              <w:bottom w:val="single" w:color="000000" w:sz="8" w:space="0"/>
              <w:right w:val="single" w:color="000000" w:sz="8" w:space="0"/>
            </w:tcBorders>
          </w:tcPr>
          <w:p w:rsidRPr="001356F1" w:rsidR="00E87F7A" w:rsidP="00A46E98" w:rsidRDefault="003527ED" w14:paraId="64C04F4C" w14:textId="46286B0F">
            <w:pPr>
              <w:rPr>
                <w:rStyle w:val="Hyperlink"/>
                <w:color w:val="000000"/>
              </w:rPr>
            </w:pPr>
            <w:r>
              <w:rPr>
                <w:rStyle w:val="Hyperlink"/>
                <w:color w:val="000000"/>
              </w:rPr>
              <w:t>aosborne@talktalk.net</w:t>
            </w:r>
          </w:p>
        </w:tc>
      </w:tr>
    </w:tbl>
    <w:p w:rsidRPr="001356F1" w:rsidR="00433B96" w:rsidP="004A6D2F" w:rsidRDefault="00433B96" w14:paraId="143C8714" w14:textId="77777777"/>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67"/>
        <w:gridCol w:w="8364"/>
      </w:tblGrid>
      <w:tr w:rsidRPr="001356F1" w:rsidR="00DF093E" w:rsidTr="62B73EE3" w14:paraId="12CCF8EE" w14:textId="77777777">
        <w:tc>
          <w:tcPr>
            <w:tcW w:w="8931" w:type="dxa"/>
            <w:gridSpan w:val="2"/>
            <w:tcBorders>
              <w:top w:val="single" w:color="auto" w:sz="4" w:space="0"/>
              <w:left w:val="single" w:color="auto" w:sz="4" w:space="0"/>
              <w:bottom w:val="single" w:color="000000" w:themeColor="text1" w:sz="8" w:space="0"/>
              <w:right w:val="single" w:color="auto" w:sz="4" w:space="0"/>
            </w:tcBorders>
          </w:tcPr>
          <w:p w:rsidRPr="00AF3485" w:rsidR="0093067A" w:rsidP="00F41AC1" w:rsidRDefault="282C914F" w14:paraId="61B16C51" w14:textId="55202C5F">
            <w:pPr>
              <w:rPr>
                <w:b/>
                <w:bCs/>
              </w:rPr>
            </w:pPr>
            <w:r w:rsidRPr="62B73EE3">
              <w:rPr>
                <w:rStyle w:val="Firstpagetablebold"/>
              </w:rPr>
              <w:t xml:space="preserve">Background Papers: </w:t>
            </w:r>
            <w:r w:rsidRPr="00AF3485" w:rsidR="00AF3485">
              <w:rPr>
                <w:rStyle w:val="Firstpagetablebold"/>
                <w:b w:val="0"/>
                <w:bCs/>
              </w:rPr>
              <w:t>None</w:t>
            </w:r>
          </w:p>
          <w:p w:rsidRPr="001356F1" w:rsidR="0093067A" w:rsidP="00BD6181" w:rsidRDefault="0093067A" w14:paraId="7116CD40" w14:textId="2C898003">
            <w:pPr>
              <w:spacing w:line="259" w:lineRule="auto"/>
              <w:rPr>
                <w:rFonts w:eastAsia="Arial" w:cs="Arial"/>
                <w:color w:val="BFBFBF" w:themeColor="background1" w:themeShade="BF"/>
              </w:rPr>
            </w:pPr>
          </w:p>
        </w:tc>
      </w:tr>
      <w:tr w:rsidRPr="001356F1" w:rsidR="00DF093E" w:rsidTr="62B73EE3" w14:paraId="4B513816" w14:textId="77777777">
        <w:tc>
          <w:tcPr>
            <w:tcW w:w="567" w:type="dxa"/>
            <w:tcBorders>
              <w:top w:val="single" w:color="000000" w:themeColor="text1" w:sz="8" w:space="0"/>
              <w:left w:val="single" w:color="000000" w:themeColor="text1" w:sz="8" w:space="0"/>
              <w:bottom w:val="nil"/>
              <w:right w:val="nil"/>
            </w:tcBorders>
          </w:tcPr>
          <w:p w:rsidRPr="001356F1" w:rsidR="0093067A" w:rsidP="00F41AC1" w:rsidRDefault="00182B81" w14:paraId="5C766C7F" w14:textId="77777777">
            <w:r w:rsidRPr="001356F1">
              <w:t>1</w:t>
            </w:r>
          </w:p>
        </w:tc>
        <w:tc>
          <w:tcPr>
            <w:tcW w:w="8364" w:type="dxa"/>
            <w:tcBorders>
              <w:top w:val="single" w:color="000000" w:themeColor="text1" w:sz="8" w:space="0"/>
              <w:left w:val="nil"/>
              <w:bottom w:val="nil"/>
              <w:right w:val="single" w:color="000000" w:themeColor="text1" w:sz="8" w:space="0"/>
            </w:tcBorders>
          </w:tcPr>
          <w:p w:rsidRPr="001356F1" w:rsidR="0093067A" w:rsidP="005D0621" w:rsidRDefault="00AF3485" w14:paraId="462D1A28" w14:textId="33FDD963">
            <w:r>
              <w:t>Councils Constitution</w:t>
            </w:r>
          </w:p>
        </w:tc>
      </w:tr>
      <w:tr w:rsidRPr="001356F1" w:rsidR="00DF093E" w:rsidTr="62B73EE3" w14:paraId="6C6E75FA" w14:textId="77777777">
        <w:tc>
          <w:tcPr>
            <w:tcW w:w="567" w:type="dxa"/>
            <w:tcBorders>
              <w:top w:val="nil"/>
              <w:left w:val="single" w:color="000000" w:themeColor="text1" w:sz="8" w:space="0"/>
              <w:bottom w:val="nil"/>
              <w:right w:val="nil"/>
            </w:tcBorders>
          </w:tcPr>
          <w:p w:rsidRPr="001356F1" w:rsidR="0093067A" w:rsidP="00F41AC1" w:rsidRDefault="00182B81" w14:paraId="05E18FBE" w14:textId="77777777">
            <w:r w:rsidRPr="001356F1">
              <w:t>2</w:t>
            </w:r>
          </w:p>
        </w:tc>
        <w:tc>
          <w:tcPr>
            <w:tcW w:w="8364" w:type="dxa"/>
            <w:tcBorders>
              <w:top w:val="nil"/>
              <w:left w:val="nil"/>
              <w:bottom w:val="nil"/>
              <w:right w:val="single" w:color="000000" w:themeColor="text1" w:sz="8" w:space="0"/>
            </w:tcBorders>
          </w:tcPr>
          <w:p w:rsidRPr="001356F1" w:rsidR="0093067A" w:rsidP="00F41AC1" w:rsidRDefault="0093067A" w14:paraId="39542725" w14:textId="77777777"/>
        </w:tc>
      </w:tr>
      <w:tr w:rsidRPr="001356F1" w:rsidR="00DF093E" w:rsidTr="62B73EE3" w14:paraId="1AC735B5" w14:textId="77777777">
        <w:tc>
          <w:tcPr>
            <w:tcW w:w="567" w:type="dxa"/>
            <w:tcBorders>
              <w:top w:val="nil"/>
              <w:left w:val="single" w:color="000000" w:themeColor="text1" w:sz="8" w:space="0"/>
              <w:bottom w:val="nil"/>
              <w:right w:val="nil"/>
            </w:tcBorders>
          </w:tcPr>
          <w:p w:rsidRPr="001356F1" w:rsidR="0093067A" w:rsidP="00F41AC1" w:rsidRDefault="00182B81" w14:paraId="64B0F938" w14:textId="77777777">
            <w:r w:rsidRPr="001356F1">
              <w:t>3</w:t>
            </w:r>
          </w:p>
        </w:tc>
        <w:tc>
          <w:tcPr>
            <w:tcW w:w="8364" w:type="dxa"/>
            <w:tcBorders>
              <w:top w:val="nil"/>
              <w:left w:val="nil"/>
              <w:bottom w:val="nil"/>
              <w:right w:val="single" w:color="000000" w:themeColor="text1" w:sz="8" w:space="0"/>
            </w:tcBorders>
          </w:tcPr>
          <w:p w:rsidRPr="001356F1" w:rsidR="0093067A" w:rsidP="00F41AC1" w:rsidRDefault="0093067A" w14:paraId="7455CDDB" w14:textId="77777777"/>
        </w:tc>
      </w:tr>
      <w:tr w:rsidRPr="00A46E98" w:rsidR="005570B5" w:rsidTr="62B73EE3" w14:paraId="0EFBD437" w14:textId="77777777">
        <w:tc>
          <w:tcPr>
            <w:tcW w:w="567" w:type="dxa"/>
            <w:tcBorders>
              <w:top w:val="nil"/>
              <w:left w:val="single" w:color="000000" w:themeColor="text1" w:sz="8" w:space="0"/>
              <w:bottom w:val="single" w:color="000000" w:themeColor="text1" w:sz="8" w:space="0"/>
              <w:right w:val="nil"/>
            </w:tcBorders>
          </w:tcPr>
          <w:p w:rsidRPr="00A46E98" w:rsidR="0093067A" w:rsidP="00F41AC1" w:rsidRDefault="00182B81" w14:paraId="67643100" w14:textId="77777777">
            <w:r w:rsidRPr="00A46E98">
              <w:t>4</w:t>
            </w:r>
          </w:p>
        </w:tc>
        <w:tc>
          <w:tcPr>
            <w:tcW w:w="8364" w:type="dxa"/>
            <w:tcBorders>
              <w:top w:val="nil"/>
              <w:left w:val="nil"/>
              <w:bottom w:val="single" w:color="000000" w:themeColor="text1" w:sz="8" w:space="0"/>
              <w:right w:val="single" w:color="000000" w:themeColor="text1" w:sz="8" w:space="0"/>
            </w:tcBorders>
          </w:tcPr>
          <w:p w:rsidRPr="00A46E98" w:rsidR="0093067A" w:rsidP="00F41AC1" w:rsidRDefault="0093067A" w14:paraId="09B8BB73" w14:textId="77777777"/>
        </w:tc>
      </w:tr>
    </w:tbl>
    <w:p w:rsidR="00CE4C87" w:rsidP="0093067A" w:rsidRDefault="00CE4C87" w14:paraId="6E09069D" w14:textId="77777777"/>
    <w:sectPr w:rsidRPr="009E51FC" w:rsidR="004456DD" w:rsidSect="002B6836">
      <w:footerReference w:type="even" r:id="rId15"/>
      <w:headerReference w:type="first" r:id="rId16"/>
      <w:pgSz w:w="11906" w:h="16838" w:orient="portrait" w:code="9"/>
      <w:pgMar w:top="1418" w:right="1304" w:bottom="1304" w:left="1304" w:header="1134" w:footer="680"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OA" w:author="OSBORNE Annette" w:date="2025-08-04T10:01:00Z" w:id="0">
    <w:p w:rsidR="008D407A" w:rsidRDefault="008D407A" w14:paraId="19B3F0F7" w14:textId="33C3AAE7">
      <w:pPr>
        <w:pStyle w:val="CommentText"/>
      </w:pPr>
      <w:r>
        <w:rPr>
          <w:rStyle w:val="CommentReference"/>
        </w:rPr>
        <w:annotationRef/>
      </w:r>
      <w:r w:rsidRPr="5D5B85DD">
        <w:t>Nigel can you confirm dates and values for 2025 - 2026?</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9B3F0F7"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74F9A5" w16cex:dateUtc="2025-08-04T16: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9B3F0F7" w16cid:durableId="2B74F9A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B466F" w:rsidP="004A6D2F" w:rsidRDefault="007B466F" w14:paraId="5967AAD3" w14:textId="77777777">
      <w:r>
        <w:separator/>
      </w:r>
    </w:p>
  </w:endnote>
  <w:endnote w:type="continuationSeparator" w:id="0">
    <w:p w:rsidR="007B466F" w:rsidP="004A6D2F" w:rsidRDefault="007B466F" w14:paraId="256837A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4FAD" w:rsidP="004A6D2F" w:rsidRDefault="00364FAD" w14:paraId="098A7B8B" w14:textId="77777777">
    <w:pPr>
      <w:pStyle w:val="Footer"/>
    </w:pPr>
    <w:r>
      <w:t>Do not use a footer or page numbers.</w:t>
    </w:r>
  </w:p>
  <w:p w:rsidR="00364FAD" w:rsidP="004A6D2F" w:rsidRDefault="00364FAD" w14:paraId="20B2461C" w14:textId="77777777">
    <w:pPr>
      <w:pStyle w:val="Footer"/>
    </w:pPr>
  </w:p>
  <w:p w:rsidR="00364FAD" w:rsidP="004A6D2F" w:rsidRDefault="00364FAD" w14:paraId="7238660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B466F" w:rsidP="004A6D2F" w:rsidRDefault="007B466F" w14:paraId="58AB3254" w14:textId="77777777">
      <w:r>
        <w:separator/>
      </w:r>
    </w:p>
  </w:footnote>
  <w:footnote w:type="continuationSeparator" w:id="0">
    <w:p w:rsidR="007B466F" w:rsidP="004A6D2F" w:rsidRDefault="007B466F" w14:paraId="0A7D448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D5547E" w:rsidP="00D5547E" w:rsidRDefault="00C05260" w14:paraId="4A0D1F7F" w14:textId="77777777">
    <w:pPr>
      <w:pStyle w:val="Header"/>
      <w:jc w:val="right"/>
    </w:pPr>
    <w:r>
      <w:rPr>
        <w:noProof/>
      </w:rPr>
      <w:drawing>
        <wp:inline distT="0" distB="0" distL="0" distR="0" wp14:anchorId="35341002" wp14:editId="2956E09D">
          <wp:extent cx="838200" cy="1119505"/>
          <wp:effectExtent l="0" t="0" r="0" b="4445"/>
          <wp:docPr id="1" name="Picture 1" title="Oxford Ci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c_bl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11195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C30BB"/>
    <w:multiLevelType w:val="multilevel"/>
    <w:tmpl w:val="E67CE66C"/>
    <w:styleLink w:val="StyleNumberedLeft0cmHanging075cm"/>
    <w:lvl w:ilvl="0">
      <w:start w:val="1"/>
      <w:numFmt w:val="decimal"/>
      <w:pStyle w:val="ListParagraph"/>
      <w:lvlText w:val="%1."/>
      <w:lvlJc w:val="left"/>
      <w:pPr>
        <w:ind w:left="360" w:hanging="360"/>
      </w:pPr>
      <w:rPr>
        <w:rFonts w:ascii="Arial" w:hAnsi="Arial"/>
        <w:color w:val="000000"/>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3CF5C54"/>
    <w:multiLevelType w:val="multilevel"/>
    <w:tmpl w:val="43D6D2FA"/>
    <w:styleLink w:val="StyleBulletedSymbolsymbolLeft063cmHanging063cm"/>
    <w:lvl w:ilvl="0">
      <w:start w:val="1"/>
      <w:numFmt w:val="bullet"/>
      <w:lvlText w:val=""/>
      <w:lvlJc w:val="left"/>
      <w:pPr>
        <w:ind w:left="720" w:hanging="360"/>
      </w:pPr>
      <w:rPr>
        <w:rFonts w:ascii="Symbol" w:hAnsi="Symbo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0980FC5"/>
    <w:multiLevelType w:val="hybridMultilevel"/>
    <w:tmpl w:val="5B36B17E"/>
    <w:lvl w:ilvl="0" w:tplc="AFA25F0A">
      <w:start w:val="1"/>
      <w:numFmt w:val="bullet"/>
      <w:pStyle w:val="Bulletpoints"/>
      <w:lvlText w:val=""/>
      <w:lvlJc w:val="left"/>
      <w:pPr>
        <w:ind w:left="1080" w:hanging="360"/>
      </w:pPr>
      <w:rPr>
        <w:rFonts w:hint="default" w:ascii="Symbol" w:hAnsi="Symbol"/>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4A8B0744"/>
    <w:multiLevelType w:val="hybridMultilevel"/>
    <w:tmpl w:val="68F4AF04"/>
    <w:lvl w:ilvl="0" w:tplc="FFFFFFF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 w15:restartNumberingAfterBreak="0">
    <w:nsid w:val="61919CCE"/>
    <w:multiLevelType w:val="hybridMultilevel"/>
    <w:tmpl w:val="FFFFFFFF"/>
    <w:lvl w:ilvl="0" w:tplc="87987770">
      <w:start w:val="8"/>
      <w:numFmt w:val="decimal"/>
      <w:lvlText w:val="%1"/>
      <w:lvlJc w:val="left"/>
      <w:pPr>
        <w:ind w:left="720" w:hanging="360"/>
      </w:pPr>
    </w:lvl>
    <w:lvl w:ilvl="1" w:tplc="8758D3C8">
      <w:start w:val="1"/>
      <w:numFmt w:val="lowerLetter"/>
      <w:lvlText w:val="%2."/>
      <w:lvlJc w:val="left"/>
      <w:pPr>
        <w:ind w:left="2137" w:hanging="360"/>
      </w:pPr>
    </w:lvl>
    <w:lvl w:ilvl="2" w:tplc="3A6462FA">
      <w:start w:val="1"/>
      <w:numFmt w:val="lowerRoman"/>
      <w:lvlText w:val="%3."/>
      <w:lvlJc w:val="right"/>
      <w:pPr>
        <w:ind w:left="3960" w:hanging="180"/>
      </w:pPr>
    </w:lvl>
    <w:lvl w:ilvl="3" w:tplc="9404DF42">
      <w:start w:val="1"/>
      <w:numFmt w:val="decimal"/>
      <w:lvlText w:val="%4."/>
      <w:lvlJc w:val="left"/>
      <w:pPr>
        <w:ind w:left="5760" w:hanging="360"/>
      </w:pPr>
    </w:lvl>
    <w:lvl w:ilvl="4" w:tplc="764CD49E">
      <w:start w:val="1"/>
      <w:numFmt w:val="lowerLetter"/>
      <w:lvlText w:val="%5."/>
      <w:lvlJc w:val="left"/>
      <w:pPr>
        <w:ind w:left="7200" w:hanging="360"/>
      </w:pPr>
    </w:lvl>
    <w:lvl w:ilvl="5" w:tplc="7032B118">
      <w:start w:val="1"/>
      <w:numFmt w:val="lowerRoman"/>
      <w:lvlText w:val="%6."/>
      <w:lvlJc w:val="right"/>
      <w:pPr>
        <w:ind w:left="9000" w:hanging="180"/>
      </w:pPr>
    </w:lvl>
    <w:lvl w:ilvl="6" w:tplc="56DA4D18">
      <w:start w:val="1"/>
      <w:numFmt w:val="decimal"/>
      <w:lvlText w:val="%7."/>
      <w:lvlJc w:val="left"/>
      <w:pPr>
        <w:ind w:left="10440" w:hanging="360"/>
      </w:pPr>
    </w:lvl>
    <w:lvl w:ilvl="7" w:tplc="E1AAF2DE">
      <w:start w:val="1"/>
      <w:numFmt w:val="lowerLetter"/>
      <w:lvlText w:val="%8."/>
      <w:lvlJc w:val="left"/>
      <w:pPr>
        <w:ind w:left="12240" w:hanging="360"/>
      </w:pPr>
    </w:lvl>
    <w:lvl w:ilvl="8" w:tplc="BB7E4D00">
      <w:start w:val="1"/>
      <w:numFmt w:val="lowerRoman"/>
      <w:lvlText w:val="%9."/>
      <w:lvlJc w:val="right"/>
      <w:pPr>
        <w:ind w:left="13680" w:hanging="180"/>
      </w:pPr>
    </w:lvl>
  </w:abstractNum>
  <w:abstractNum w:abstractNumId="5" w15:restartNumberingAfterBreak="0">
    <w:nsid w:val="6A9F2B3C"/>
    <w:multiLevelType w:val="multilevel"/>
    <w:tmpl w:val="4C5820D8"/>
    <w:lvl w:ilvl="0">
      <w:start w:val="1"/>
      <w:numFmt w:val="decimal"/>
      <w:pStyle w:val="Numberedlist"/>
      <w:lvlText w:val="%1."/>
      <w:lvlJc w:val="left"/>
      <w:pPr>
        <w:ind w:left="720" w:hanging="360"/>
      </w:pPr>
      <w:rPr>
        <w:rFonts w:ascii="Arial" w:hAnsi="Aria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DB21E76"/>
    <w:multiLevelType w:val="hybridMultilevel"/>
    <w:tmpl w:val="1FECE16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98365C6"/>
    <w:multiLevelType w:val="multilevel"/>
    <w:tmpl w:val="E67CE66C"/>
    <w:numStyleLink w:val="StyleNumberedLeft0cmHanging075cm"/>
  </w:abstractNum>
  <w:abstractNum w:abstractNumId="8" w15:restartNumberingAfterBreak="0">
    <w:nsid w:val="7BB34435"/>
    <w:multiLevelType w:val="multilevel"/>
    <w:tmpl w:val="DC621EB0"/>
    <w:lvl w:ilvl="0">
      <w:start w:val="6"/>
      <w:numFmt w:val="decimal"/>
      <w:lvlText w:val="%1"/>
      <w:lvlJc w:val="left"/>
      <w:pPr>
        <w:ind w:left="360" w:hanging="360"/>
      </w:pPr>
      <w:rPr>
        <w:rFonts w:hint="default"/>
      </w:rPr>
    </w:lvl>
    <w:lvl w:ilvl="1">
      <w:start w:val="1"/>
      <w:numFmt w:val="decimal"/>
      <w:lvlText w:val="%1.%2"/>
      <w:lvlJc w:val="left"/>
      <w:pPr>
        <w:ind w:left="1777"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num w:numId="1" w16cid:durableId="1876455453">
    <w:abstractNumId w:val="4"/>
  </w:num>
  <w:num w:numId="2" w16cid:durableId="1450854030">
    <w:abstractNumId w:val="0"/>
  </w:num>
  <w:num w:numId="3" w16cid:durableId="373359476">
    <w:abstractNumId w:val="7"/>
  </w:num>
  <w:num w:numId="4" w16cid:durableId="1009412161">
    <w:abstractNumId w:val="2"/>
  </w:num>
  <w:num w:numId="5" w16cid:durableId="2041280933">
    <w:abstractNumId w:val="1"/>
  </w:num>
  <w:num w:numId="6" w16cid:durableId="37707020">
    <w:abstractNumId w:val="5"/>
  </w:num>
  <w:num w:numId="7" w16cid:durableId="1929117801">
    <w:abstractNumId w:val="3"/>
  </w:num>
  <w:num w:numId="8" w16cid:durableId="1413702289">
    <w:abstractNumId w:val="6"/>
  </w:num>
  <w:num w:numId="9" w16cid:durableId="1596549835">
    <w:abstractNumId w:val="8"/>
  </w:num>
  <w:num w:numId="10" w16cid:durableId="1881622374">
    <w:abstractNumId w:val="7"/>
  </w:num>
  <w:num w:numId="11" w16cid:durableId="1983804013">
    <w:abstractNumId w:val="7"/>
  </w:num>
  <w:num w:numId="12" w16cid:durableId="1668829486">
    <w:abstractNumId w:val="7"/>
  </w:num>
  <w:num w:numId="13" w16cid:durableId="1362362580">
    <w:abstractNumId w:val="7"/>
  </w:num>
  <w:num w:numId="14" w16cid:durableId="1671251789">
    <w:abstractNumId w:val="7"/>
  </w:num>
  <w:num w:numId="15" w16cid:durableId="1688404251">
    <w:abstractNumId w:val="7"/>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SBORNE Annette">
    <w15:presenceInfo w15:providerId="AD" w15:userId="S::aosborne@oxford.gov.uk::37d3d738-10f8-4c1f-8f62-e6278df156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B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1"/>
  <w:stylePaneSortMethod w:val="0000"/>
  <w:trackRevisions w:val="false"/>
  <w:documentProtection w:edit="trackedChange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B71"/>
    <w:rsid w:val="00007A0A"/>
    <w:rsid w:val="000117D4"/>
    <w:rsid w:val="00015853"/>
    <w:rsid w:val="00025250"/>
    <w:rsid w:val="000314D7"/>
    <w:rsid w:val="00034054"/>
    <w:rsid w:val="00045F8B"/>
    <w:rsid w:val="00046D2B"/>
    <w:rsid w:val="00056263"/>
    <w:rsid w:val="00064D8A"/>
    <w:rsid w:val="00064F82"/>
    <w:rsid w:val="00066510"/>
    <w:rsid w:val="000715BB"/>
    <w:rsid w:val="00077523"/>
    <w:rsid w:val="000B1DFC"/>
    <w:rsid w:val="000B54F7"/>
    <w:rsid w:val="000C089F"/>
    <w:rsid w:val="000C3928"/>
    <w:rsid w:val="000C5E8E"/>
    <w:rsid w:val="000D637A"/>
    <w:rsid w:val="000F4751"/>
    <w:rsid w:val="0010524C"/>
    <w:rsid w:val="00111FB1"/>
    <w:rsid w:val="00113418"/>
    <w:rsid w:val="001356F1"/>
    <w:rsid w:val="00136994"/>
    <w:rsid w:val="0014128E"/>
    <w:rsid w:val="00144ED9"/>
    <w:rsid w:val="00151888"/>
    <w:rsid w:val="00154095"/>
    <w:rsid w:val="00170A2D"/>
    <w:rsid w:val="001808BC"/>
    <w:rsid w:val="00182B81"/>
    <w:rsid w:val="0018619D"/>
    <w:rsid w:val="00190352"/>
    <w:rsid w:val="001A011E"/>
    <w:rsid w:val="001A066A"/>
    <w:rsid w:val="001A13E6"/>
    <w:rsid w:val="001A5731"/>
    <w:rsid w:val="001B42C3"/>
    <w:rsid w:val="001C5D5E"/>
    <w:rsid w:val="001D678D"/>
    <w:rsid w:val="001E03F8"/>
    <w:rsid w:val="001E1678"/>
    <w:rsid w:val="001E3376"/>
    <w:rsid w:val="002069B3"/>
    <w:rsid w:val="002312EA"/>
    <w:rsid w:val="002329CF"/>
    <w:rsid w:val="00232F5B"/>
    <w:rsid w:val="00247C29"/>
    <w:rsid w:val="00256305"/>
    <w:rsid w:val="00260467"/>
    <w:rsid w:val="00263EA3"/>
    <w:rsid w:val="002738B1"/>
    <w:rsid w:val="00276A62"/>
    <w:rsid w:val="00284F85"/>
    <w:rsid w:val="00285D6C"/>
    <w:rsid w:val="002870C3"/>
    <w:rsid w:val="00290915"/>
    <w:rsid w:val="002A22E2"/>
    <w:rsid w:val="002A2BE3"/>
    <w:rsid w:val="002B6836"/>
    <w:rsid w:val="002C1EE8"/>
    <w:rsid w:val="002C64F7"/>
    <w:rsid w:val="002C7990"/>
    <w:rsid w:val="002D6A86"/>
    <w:rsid w:val="002D7BFC"/>
    <w:rsid w:val="002F41F2"/>
    <w:rsid w:val="00301BF3"/>
    <w:rsid w:val="0030208D"/>
    <w:rsid w:val="0031232A"/>
    <w:rsid w:val="00323418"/>
    <w:rsid w:val="003357BF"/>
    <w:rsid w:val="003362AA"/>
    <w:rsid w:val="00345C8E"/>
    <w:rsid w:val="003527ED"/>
    <w:rsid w:val="00363719"/>
    <w:rsid w:val="00364FAD"/>
    <w:rsid w:val="0036738F"/>
    <w:rsid w:val="0036759C"/>
    <w:rsid w:val="00367AE5"/>
    <w:rsid w:val="00367D71"/>
    <w:rsid w:val="0038150A"/>
    <w:rsid w:val="003903A5"/>
    <w:rsid w:val="00393DBE"/>
    <w:rsid w:val="003B6E75"/>
    <w:rsid w:val="003B7DA1"/>
    <w:rsid w:val="003D0379"/>
    <w:rsid w:val="003D2574"/>
    <w:rsid w:val="003D4C59"/>
    <w:rsid w:val="003E053E"/>
    <w:rsid w:val="003E2A24"/>
    <w:rsid w:val="003F4267"/>
    <w:rsid w:val="00404032"/>
    <w:rsid w:val="0040736F"/>
    <w:rsid w:val="00412C1F"/>
    <w:rsid w:val="00421CB2"/>
    <w:rsid w:val="0042577C"/>
    <w:rsid w:val="004268B9"/>
    <w:rsid w:val="00433B96"/>
    <w:rsid w:val="004439A7"/>
    <w:rsid w:val="004440F1"/>
    <w:rsid w:val="004456DD"/>
    <w:rsid w:val="00446CDF"/>
    <w:rsid w:val="004521B7"/>
    <w:rsid w:val="004548E0"/>
    <w:rsid w:val="00462AB5"/>
    <w:rsid w:val="00462D22"/>
    <w:rsid w:val="00463ACD"/>
    <w:rsid w:val="00465EAF"/>
    <w:rsid w:val="004738C5"/>
    <w:rsid w:val="0047737B"/>
    <w:rsid w:val="00491046"/>
    <w:rsid w:val="00496078"/>
    <w:rsid w:val="004A2AC7"/>
    <w:rsid w:val="004A3113"/>
    <w:rsid w:val="004A450D"/>
    <w:rsid w:val="004A6D2F"/>
    <w:rsid w:val="004B11AE"/>
    <w:rsid w:val="004B3D13"/>
    <w:rsid w:val="004C2887"/>
    <w:rsid w:val="004D2626"/>
    <w:rsid w:val="004D4C88"/>
    <w:rsid w:val="004D68AD"/>
    <w:rsid w:val="004D6E26"/>
    <w:rsid w:val="004D77D3"/>
    <w:rsid w:val="004E2959"/>
    <w:rsid w:val="004F20EF"/>
    <w:rsid w:val="004F6F31"/>
    <w:rsid w:val="0050321C"/>
    <w:rsid w:val="00506DE6"/>
    <w:rsid w:val="00507ECC"/>
    <w:rsid w:val="00535C10"/>
    <w:rsid w:val="00543073"/>
    <w:rsid w:val="0054712D"/>
    <w:rsid w:val="00547EF6"/>
    <w:rsid w:val="00555B59"/>
    <w:rsid w:val="005570B5"/>
    <w:rsid w:val="00567E18"/>
    <w:rsid w:val="00572782"/>
    <w:rsid w:val="005734E3"/>
    <w:rsid w:val="00575F5F"/>
    <w:rsid w:val="00581805"/>
    <w:rsid w:val="00585F76"/>
    <w:rsid w:val="005917B4"/>
    <w:rsid w:val="005A34E4"/>
    <w:rsid w:val="005A4229"/>
    <w:rsid w:val="005A6610"/>
    <w:rsid w:val="005B17F2"/>
    <w:rsid w:val="005B7AD4"/>
    <w:rsid w:val="005B7FB0"/>
    <w:rsid w:val="005C35A5"/>
    <w:rsid w:val="005C577C"/>
    <w:rsid w:val="005D0621"/>
    <w:rsid w:val="005D1E27"/>
    <w:rsid w:val="005D2A3E"/>
    <w:rsid w:val="005E022E"/>
    <w:rsid w:val="005E5215"/>
    <w:rsid w:val="005F7F7E"/>
    <w:rsid w:val="0060432D"/>
    <w:rsid w:val="00614693"/>
    <w:rsid w:val="006153A7"/>
    <w:rsid w:val="00623C2F"/>
    <w:rsid w:val="00633578"/>
    <w:rsid w:val="00637068"/>
    <w:rsid w:val="00640FEA"/>
    <w:rsid w:val="006419CA"/>
    <w:rsid w:val="00650811"/>
    <w:rsid w:val="00655339"/>
    <w:rsid w:val="00661D3E"/>
    <w:rsid w:val="00692627"/>
    <w:rsid w:val="006969E7"/>
    <w:rsid w:val="006A3643"/>
    <w:rsid w:val="006B10C2"/>
    <w:rsid w:val="006C2A29"/>
    <w:rsid w:val="006C64CF"/>
    <w:rsid w:val="006C713B"/>
    <w:rsid w:val="006D17B1"/>
    <w:rsid w:val="006D1D34"/>
    <w:rsid w:val="006D4752"/>
    <w:rsid w:val="006D708A"/>
    <w:rsid w:val="006E14C1"/>
    <w:rsid w:val="006F0292"/>
    <w:rsid w:val="006F27FA"/>
    <w:rsid w:val="006F3190"/>
    <w:rsid w:val="006F416B"/>
    <w:rsid w:val="006F519B"/>
    <w:rsid w:val="00713675"/>
    <w:rsid w:val="00715823"/>
    <w:rsid w:val="0072449C"/>
    <w:rsid w:val="00724D4E"/>
    <w:rsid w:val="007253EF"/>
    <w:rsid w:val="00737B93"/>
    <w:rsid w:val="00745BF0"/>
    <w:rsid w:val="00751EA3"/>
    <w:rsid w:val="007537F0"/>
    <w:rsid w:val="007615FE"/>
    <w:rsid w:val="0076655C"/>
    <w:rsid w:val="00770DD5"/>
    <w:rsid w:val="00771206"/>
    <w:rsid w:val="007742DC"/>
    <w:rsid w:val="00774453"/>
    <w:rsid w:val="007817F3"/>
    <w:rsid w:val="00791437"/>
    <w:rsid w:val="007B0C2C"/>
    <w:rsid w:val="007B278E"/>
    <w:rsid w:val="007B466F"/>
    <w:rsid w:val="007B5CA2"/>
    <w:rsid w:val="007C5C23"/>
    <w:rsid w:val="007D0493"/>
    <w:rsid w:val="007D04C9"/>
    <w:rsid w:val="007D1A3A"/>
    <w:rsid w:val="007E2A26"/>
    <w:rsid w:val="007F2348"/>
    <w:rsid w:val="007F2DC1"/>
    <w:rsid w:val="007F4757"/>
    <w:rsid w:val="00803F07"/>
    <w:rsid w:val="0080749A"/>
    <w:rsid w:val="00821FB8"/>
    <w:rsid w:val="00822ACD"/>
    <w:rsid w:val="00840A55"/>
    <w:rsid w:val="00855C66"/>
    <w:rsid w:val="00860374"/>
    <w:rsid w:val="00860BDA"/>
    <w:rsid w:val="00863DDA"/>
    <w:rsid w:val="00871B5F"/>
    <w:rsid w:val="00871EE4"/>
    <w:rsid w:val="008954DF"/>
    <w:rsid w:val="008B293F"/>
    <w:rsid w:val="008B5497"/>
    <w:rsid w:val="008B7371"/>
    <w:rsid w:val="008D3DDB"/>
    <w:rsid w:val="008D407A"/>
    <w:rsid w:val="008D66AA"/>
    <w:rsid w:val="008E614A"/>
    <w:rsid w:val="008F3B04"/>
    <w:rsid w:val="008F573F"/>
    <w:rsid w:val="009034EC"/>
    <w:rsid w:val="00912239"/>
    <w:rsid w:val="009160AE"/>
    <w:rsid w:val="0093067A"/>
    <w:rsid w:val="00934B6C"/>
    <w:rsid w:val="00941C60"/>
    <w:rsid w:val="00941FD1"/>
    <w:rsid w:val="00950824"/>
    <w:rsid w:val="00952239"/>
    <w:rsid w:val="009623E9"/>
    <w:rsid w:val="00966D42"/>
    <w:rsid w:val="00971689"/>
    <w:rsid w:val="0097170F"/>
    <w:rsid w:val="00973E90"/>
    <w:rsid w:val="00975B07"/>
    <w:rsid w:val="00980B4A"/>
    <w:rsid w:val="00984E0B"/>
    <w:rsid w:val="009960D7"/>
    <w:rsid w:val="009A38B6"/>
    <w:rsid w:val="009B3E8A"/>
    <w:rsid w:val="009B741F"/>
    <w:rsid w:val="009C19CD"/>
    <w:rsid w:val="009E30E2"/>
    <w:rsid w:val="009E3D0A"/>
    <w:rsid w:val="009E51FC"/>
    <w:rsid w:val="009F1D28"/>
    <w:rsid w:val="009F7618"/>
    <w:rsid w:val="00A04D23"/>
    <w:rsid w:val="00A06766"/>
    <w:rsid w:val="00A13765"/>
    <w:rsid w:val="00A17B6D"/>
    <w:rsid w:val="00A21B12"/>
    <w:rsid w:val="00A23F80"/>
    <w:rsid w:val="00A30944"/>
    <w:rsid w:val="00A41303"/>
    <w:rsid w:val="00A41518"/>
    <w:rsid w:val="00A46E98"/>
    <w:rsid w:val="00A50383"/>
    <w:rsid w:val="00A6352B"/>
    <w:rsid w:val="00A701B5"/>
    <w:rsid w:val="00A714BB"/>
    <w:rsid w:val="00A77147"/>
    <w:rsid w:val="00A92D8F"/>
    <w:rsid w:val="00AB2988"/>
    <w:rsid w:val="00AB65F8"/>
    <w:rsid w:val="00AB7999"/>
    <w:rsid w:val="00AD3292"/>
    <w:rsid w:val="00AE1684"/>
    <w:rsid w:val="00AE7AF0"/>
    <w:rsid w:val="00AF3485"/>
    <w:rsid w:val="00AF6727"/>
    <w:rsid w:val="00B500CA"/>
    <w:rsid w:val="00B86314"/>
    <w:rsid w:val="00BA1A18"/>
    <w:rsid w:val="00BA1C2E"/>
    <w:rsid w:val="00BA37B1"/>
    <w:rsid w:val="00BA6B51"/>
    <w:rsid w:val="00BC200B"/>
    <w:rsid w:val="00BC4756"/>
    <w:rsid w:val="00BC69A4"/>
    <w:rsid w:val="00BD2A4B"/>
    <w:rsid w:val="00BD6181"/>
    <w:rsid w:val="00BD75FB"/>
    <w:rsid w:val="00BE0680"/>
    <w:rsid w:val="00BE305F"/>
    <w:rsid w:val="00BE7BA3"/>
    <w:rsid w:val="00BF5682"/>
    <w:rsid w:val="00BF7B09"/>
    <w:rsid w:val="00C05260"/>
    <w:rsid w:val="00C076B9"/>
    <w:rsid w:val="00C16B47"/>
    <w:rsid w:val="00C20A95"/>
    <w:rsid w:val="00C2692F"/>
    <w:rsid w:val="00C31233"/>
    <w:rsid w:val="00C3207C"/>
    <w:rsid w:val="00C400E1"/>
    <w:rsid w:val="00C41187"/>
    <w:rsid w:val="00C518EF"/>
    <w:rsid w:val="00C63C31"/>
    <w:rsid w:val="00C757A0"/>
    <w:rsid w:val="00C760DE"/>
    <w:rsid w:val="00C80BDC"/>
    <w:rsid w:val="00C82630"/>
    <w:rsid w:val="00C85B4E"/>
    <w:rsid w:val="00C907F7"/>
    <w:rsid w:val="00CA10D8"/>
    <w:rsid w:val="00CA2103"/>
    <w:rsid w:val="00CA5D9E"/>
    <w:rsid w:val="00CB21E8"/>
    <w:rsid w:val="00CB6B99"/>
    <w:rsid w:val="00CE4C87"/>
    <w:rsid w:val="00CE544A"/>
    <w:rsid w:val="00D11E1C"/>
    <w:rsid w:val="00D142ED"/>
    <w:rsid w:val="00D160B0"/>
    <w:rsid w:val="00D17F94"/>
    <w:rsid w:val="00D223FC"/>
    <w:rsid w:val="00D26D1E"/>
    <w:rsid w:val="00D37827"/>
    <w:rsid w:val="00D474CF"/>
    <w:rsid w:val="00D5547E"/>
    <w:rsid w:val="00D60714"/>
    <w:rsid w:val="00D6372B"/>
    <w:rsid w:val="00D860E2"/>
    <w:rsid w:val="00D869A1"/>
    <w:rsid w:val="00DA413F"/>
    <w:rsid w:val="00DA4584"/>
    <w:rsid w:val="00DA614B"/>
    <w:rsid w:val="00DB54C3"/>
    <w:rsid w:val="00DB7AD7"/>
    <w:rsid w:val="00DC3060"/>
    <w:rsid w:val="00DE0FB2"/>
    <w:rsid w:val="00DF093E"/>
    <w:rsid w:val="00DF6AE1"/>
    <w:rsid w:val="00E01F42"/>
    <w:rsid w:val="00E206D6"/>
    <w:rsid w:val="00E3366E"/>
    <w:rsid w:val="00E52086"/>
    <w:rsid w:val="00E52224"/>
    <w:rsid w:val="00E5404A"/>
    <w:rsid w:val="00E543A6"/>
    <w:rsid w:val="00E55EFC"/>
    <w:rsid w:val="00E60479"/>
    <w:rsid w:val="00E61D73"/>
    <w:rsid w:val="00E73684"/>
    <w:rsid w:val="00E73BCA"/>
    <w:rsid w:val="00E818D6"/>
    <w:rsid w:val="00E84E0E"/>
    <w:rsid w:val="00E87F7A"/>
    <w:rsid w:val="00E91362"/>
    <w:rsid w:val="00E94B3E"/>
    <w:rsid w:val="00E96BD7"/>
    <w:rsid w:val="00EA0DB1"/>
    <w:rsid w:val="00EA0EE9"/>
    <w:rsid w:val="00EB2BCF"/>
    <w:rsid w:val="00ED52CA"/>
    <w:rsid w:val="00ED5860"/>
    <w:rsid w:val="00EE35C9"/>
    <w:rsid w:val="00F05ECA"/>
    <w:rsid w:val="00F26E21"/>
    <w:rsid w:val="00F3566E"/>
    <w:rsid w:val="00F375FB"/>
    <w:rsid w:val="00F41AC1"/>
    <w:rsid w:val="00F4367A"/>
    <w:rsid w:val="00F445B1"/>
    <w:rsid w:val="00F45CD4"/>
    <w:rsid w:val="00F66DCA"/>
    <w:rsid w:val="00F74F53"/>
    <w:rsid w:val="00F7606D"/>
    <w:rsid w:val="00F81670"/>
    <w:rsid w:val="00F82024"/>
    <w:rsid w:val="00F865A3"/>
    <w:rsid w:val="00F95BC9"/>
    <w:rsid w:val="00FA624C"/>
    <w:rsid w:val="00FA632A"/>
    <w:rsid w:val="00FB3B71"/>
    <w:rsid w:val="00FC4755"/>
    <w:rsid w:val="00FD0FAC"/>
    <w:rsid w:val="00FD1DFA"/>
    <w:rsid w:val="00FD4966"/>
    <w:rsid w:val="00FE184F"/>
    <w:rsid w:val="00FE57DC"/>
    <w:rsid w:val="00FF095A"/>
    <w:rsid w:val="00FF6A47"/>
    <w:rsid w:val="05B94C3D"/>
    <w:rsid w:val="07D434D5"/>
    <w:rsid w:val="0AEAD29A"/>
    <w:rsid w:val="0B89A7FD"/>
    <w:rsid w:val="0E137018"/>
    <w:rsid w:val="0ECD8498"/>
    <w:rsid w:val="0FB9297F"/>
    <w:rsid w:val="11DE2519"/>
    <w:rsid w:val="150E6135"/>
    <w:rsid w:val="16C788FA"/>
    <w:rsid w:val="187CEEE6"/>
    <w:rsid w:val="18B12936"/>
    <w:rsid w:val="1BC0B843"/>
    <w:rsid w:val="1BDE6ACD"/>
    <w:rsid w:val="1C62DB68"/>
    <w:rsid w:val="1E2AA5CE"/>
    <w:rsid w:val="22F0553C"/>
    <w:rsid w:val="238A6E87"/>
    <w:rsid w:val="24AA93AA"/>
    <w:rsid w:val="25C8DF4C"/>
    <w:rsid w:val="27395084"/>
    <w:rsid w:val="278ACBEA"/>
    <w:rsid w:val="27EEE55C"/>
    <w:rsid w:val="282C914F"/>
    <w:rsid w:val="2875A525"/>
    <w:rsid w:val="29894939"/>
    <w:rsid w:val="2DC2B855"/>
    <w:rsid w:val="324D62CA"/>
    <w:rsid w:val="3323D874"/>
    <w:rsid w:val="33C8C2FF"/>
    <w:rsid w:val="34C5ADE6"/>
    <w:rsid w:val="34ECE2A5"/>
    <w:rsid w:val="35E68B5F"/>
    <w:rsid w:val="3742E73C"/>
    <w:rsid w:val="38C4BD77"/>
    <w:rsid w:val="3A028991"/>
    <w:rsid w:val="3A1580BC"/>
    <w:rsid w:val="3BB43EC8"/>
    <w:rsid w:val="3C9559B9"/>
    <w:rsid w:val="3D75EE1D"/>
    <w:rsid w:val="4165F553"/>
    <w:rsid w:val="431C3BF6"/>
    <w:rsid w:val="43F42839"/>
    <w:rsid w:val="47265693"/>
    <w:rsid w:val="4DC9FD09"/>
    <w:rsid w:val="4DDA36AE"/>
    <w:rsid w:val="4DF06A9C"/>
    <w:rsid w:val="51049B70"/>
    <w:rsid w:val="52141FE7"/>
    <w:rsid w:val="530E7F80"/>
    <w:rsid w:val="53124442"/>
    <w:rsid w:val="54BD7E5A"/>
    <w:rsid w:val="562DCFA1"/>
    <w:rsid w:val="571C62E4"/>
    <w:rsid w:val="58C16BAB"/>
    <w:rsid w:val="5A39062E"/>
    <w:rsid w:val="5C2301F2"/>
    <w:rsid w:val="5CD2A867"/>
    <w:rsid w:val="5D0EC0A9"/>
    <w:rsid w:val="5D6EE46E"/>
    <w:rsid w:val="5DE62121"/>
    <w:rsid w:val="60B35EF8"/>
    <w:rsid w:val="613D2893"/>
    <w:rsid w:val="62B73EE3"/>
    <w:rsid w:val="636BDC7A"/>
    <w:rsid w:val="6AFD90EA"/>
    <w:rsid w:val="6BFBC2A1"/>
    <w:rsid w:val="6ECA3545"/>
    <w:rsid w:val="70F8304B"/>
    <w:rsid w:val="7276546A"/>
    <w:rsid w:val="75E01BB2"/>
    <w:rsid w:val="76D8CABF"/>
    <w:rsid w:val="7F3A433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7421A9"/>
  <w15:docId w15:val="{ADF16269-2276-4E93-8E50-6570208E5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585F76"/>
    <w:pPr>
      <w:spacing w:after="120"/>
    </w:pPr>
    <w:rPr>
      <w:color w:val="000000"/>
      <w:sz w:val="24"/>
      <w:szCs w:val="24"/>
    </w:rPr>
  </w:style>
  <w:style w:type="paragraph" w:styleId="Heading1">
    <w:name w:val="heading 1"/>
    <w:aliases w:val="aHeading"/>
    <w:basedOn w:val="Normal"/>
    <w:next w:val="Normal"/>
    <w:link w:val="Heading1Char"/>
    <w:qFormat/>
    <w:rsid w:val="002B6836"/>
    <w:pPr>
      <w:spacing w:before="240"/>
      <w:outlineLvl w:val="0"/>
    </w:pPr>
    <w:rPr>
      <w:b/>
    </w:rPr>
  </w:style>
  <w:style w:type="paragraph" w:styleId="Heading2">
    <w:name w:val="heading 2"/>
    <w:aliases w:val="Sub-heading"/>
    <w:basedOn w:val="Normal"/>
    <w:next w:val="Normal"/>
    <w:qFormat/>
    <w:rsid w:val="00F26E21"/>
    <w:pPr>
      <w:spacing w:before="120"/>
      <w:outlineLvl w:val="1"/>
    </w:pPr>
    <w:rPr>
      <w:u w:val="singl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rsid w:val="004A6D2F"/>
    <w:pPr>
      <w:tabs>
        <w:tab w:val="center" w:pos="4153"/>
        <w:tab w:val="right" w:pos="8306"/>
      </w:tabs>
    </w:pPr>
    <w:rPr>
      <w:sz w:val="18"/>
    </w:rPr>
  </w:style>
  <w:style w:type="paragraph" w:styleId="Footer">
    <w:name w:val="footer"/>
    <w:aliases w:val="zzFooter"/>
    <w:basedOn w:val="Normal"/>
    <w:link w:val="FooterChar"/>
    <w:uiPriority w:val="99"/>
    <w:rsid w:val="004A6D2F"/>
    <w:pPr>
      <w:tabs>
        <w:tab w:val="center" w:pos="4153"/>
        <w:tab w:val="right" w:pos="8306"/>
      </w:tabs>
    </w:pPr>
    <w:rPr>
      <w:sz w:val="18"/>
    </w:rPr>
  </w:style>
  <w:style w:type="paragraph" w:styleId="NormalWeb">
    <w:name w:val="Normal (Web)"/>
    <w:basedOn w:val="Normal"/>
    <w:pPr>
      <w:spacing w:before="100" w:beforeAutospacing="1" w:after="100" w:afterAutospacing="1"/>
    </w:pPr>
    <w:rPr>
      <w:rFonts w:ascii="Arial Unicode MS" w:hAnsi="Arial Unicode MS" w:eastAsia="Arial Unicode MS" w:cs="Arial Unicode MS"/>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numbering" w:styleId="StyleBulletedSymbolsymbolLeft063cmHanging063cm" w:customStyle="1">
    <w:name w:val="Style Bulleted Symbol (symbol) Left:  0.63 cm Hanging:  0.63 cm"/>
    <w:basedOn w:val="NoList"/>
    <w:rsid w:val="00E818D6"/>
    <w:pPr>
      <w:numPr>
        <w:numId w:val="5"/>
      </w:numPr>
    </w:pPr>
  </w:style>
  <w:style w:type="character" w:styleId="PageNumber">
    <w:name w:val="page number"/>
    <w:rsid w:val="004A6D2F"/>
    <w:rPr>
      <w:rFonts w:ascii="Arial" w:hAnsi="Arial"/>
      <w:sz w:val="18"/>
    </w:rPr>
  </w:style>
  <w:style w:type="character" w:styleId="Hyperlink">
    <w:name w:val="Hyperlink"/>
    <w:aliases w:val="set Hyperlink"/>
    <w:qFormat/>
    <w:rsid w:val="003D2574"/>
    <w:rPr>
      <w:rFonts w:ascii="Arial" w:hAnsi="Arial"/>
      <w:color w:val="0000FF"/>
      <w:sz w:val="24"/>
      <w:u w:val="single"/>
    </w:rPr>
  </w:style>
  <w:style w:type="table" w:styleId="TableGrid">
    <w:name w:val="Table Grid"/>
    <w:basedOn w:val="TableNormal"/>
    <w:rsid w:val="001A066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rsid w:val="00E96BD7"/>
    <w:pPr>
      <w:spacing w:after="120"/>
    </w:pPr>
    <w:rPr>
      <w:color w:val="000000"/>
      <w:sz w:val="24"/>
      <w:szCs w:val="24"/>
      <w:lang w:eastAsia="en-US"/>
    </w:rPr>
  </w:style>
  <w:style w:type="paragraph" w:styleId="ListParagraph">
    <w:name w:val="List Paragraph"/>
    <w:basedOn w:val="Normal"/>
    <w:link w:val="ListParagraphChar"/>
    <w:uiPriority w:val="34"/>
    <w:qFormat/>
    <w:rsid w:val="005570B5"/>
    <w:pPr>
      <w:numPr>
        <w:numId w:val="3"/>
      </w:numPr>
      <w:tabs>
        <w:tab w:val="left" w:pos="426"/>
      </w:tabs>
    </w:pPr>
  </w:style>
  <w:style w:type="character" w:styleId="HeaderChar" w:customStyle="1">
    <w:name w:val="Header Char"/>
    <w:link w:val="Header"/>
    <w:uiPriority w:val="99"/>
    <w:rsid w:val="004A6D2F"/>
    <w:rPr>
      <w:rFonts w:ascii="Arial" w:hAnsi="Arial"/>
      <w:bCs/>
      <w:color w:val="000000"/>
      <w:sz w:val="18"/>
      <w:szCs w:val="24"/>
      <w:lang w:eastAsia="en-US"/>
    </w:rPr>
  </w:style>
  <w:style w:type="table" w:styleId="LightList-Accent2">
    <w:name w:val="Light List Accent 2"/>
    <w:basedOn w:val="TableNormal"/>
    <w:uiPriority w:val="61"/>
    <w:rsid w:val="00421CB2"/>
    <w:rPr>
      <w:rFonts w:eastAsia="Calibri" w:cs="Arial"/>
      <w:sz w:val="24"/>
      <w:szCs w:val="24"/>
      <w:lang w:eastAsia="en-US"/>
    </w:rPr>
    <w:tblPr>
      <w:tblStyleRowBandSize w:val="1"/>
      <w:tblStyleColBandSize w:val="1"/>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LightShading-Accent2">
    <w:name w:val="Light Shading Accent 2"/>
    <w:basedOn w:val="TableNormal"/>
    <w:uiPriority w:val="60"/>
    <w:rsid w:val="00CB6B99"/>
    <w:rPr>
      <w:rFonts w:eastAsia="Calibri" w:cs="Arial"/>
      <w:color w:val="943634"/>
      <w:sz w:val="24"/>
      <w:szCs w:val="24"/>
      <w:lang w:eastAsia="en-US"/>
    </w:rPr>
    <w:tblPr>
      <w:tblStyleRowBandSize w:val="1"/>
      <w:tblStyleColBandSize w:val="1"/>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nil"/>
          <w:bottom w:val="single" w:color="C0504D" w:sz="8" w:space="0"/>
          <w:right w:val="nil"/>
          <w:insideH w:val="nil"/>
          <w:insideV w:val="nil"/>
        </w:tcBorders>
      </w:tcPr>
    </w:tblStylePr>
    <w:tblStylePr w:type="lastRow">
      <w:pPr>
        <w:spacing w:before="0" w:after="0" w:line="240" w:lineRule="auto"/>
      </w:pPr>
      <w:rPr>
        <w:b/>
        <w:bCs/>
      </w:rPr>
      <w:tblPr/>
      <w:tcPr>
        <w:tcBorders>
          <w:top w:val="single" w:color="C0504D" w:sz="8" w:space="0"/>
          <w:left w:val="nil"/>
          <w:bottom w:val="single" w:color="C0504D"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Revision">
    <w:name w:val="Revision"/>
    <w:hidden/>
    <w:uiPriority w:val="99"/>
    <w:semiHidden/>
    <w:rsid w:val="009034EC"/>
    <w:pPr>
      <w:spacing w:after="120"/>
    </w:pPr>
    <w:rPr>
      <w:color w:val="000000"/>
      <w:sz w:val="24"/>
      <w:szCs w:val="24"/>
      <w:lang w:eastAsia="en-US"/>
    </w:rPr>
  </w:style>
  <w:style w:type="paragraph" w:styleId="Tableandfigurecaption" w:customStyle="1">
    <w:name w:val="Table and figure caption"/>
    <w:basedOn w:val="Heading2"/>
    <w:rsid w:val="00692627"/>
    <w:pPr>
      <w:ind w:left="360"/>
    </w:pPr>
    <w:rPr>
      <w:bCs/>
      <w:szCs w:val="20"/>
    </w:rPr>
  </w:style>
  <w:style w:type="numbering" w:styleId="StyleNumberedLeft0cmHanging075cm" w:customStyle="1">
    <w:name w:val="Style Numbered Left:  0 cm Hanging:  0.75 cm"/>
    <w:basedOn w:val="NoList"/>
    <w:rsid w:val="00E818D6"/>
    <w:pPr>
      <w:numPr>
        <w:numId w:val="2"/>
      </w:numPr>
    </w:pPr>
  </w:style>
  <w:style w:type="paragraph" w:styleId="Bulletpoints" w:customStyle="1">
    <w:name w:val="Bullet points"/>
    <w:basedOn w:val="Normal"/>
    <w:link w:val="BulletpointsChar"/>
    <w:qFormat/>
    <w:rsid w:val="005570B5"/>
    <w:pPr>
      <w:numPr>
        <w:numId w:val="4"/>
      </w:numPr>
      <w:tabs>
        <w:tab w:val="left" w:pos="993"/>
      </w:tabs>
      <w:ind w:left="993" w:hanging="425"/>
    </w:pPr>
  </w:style>
  <w:style w:type="paragraph" w:styleId="Quote">
    <w:name w:val="Quote"/>
    <w:basedOn w:val="Normal"/>
    <w:next w:val="Normal"/>
    <w:link w:val="QuoteChar"/>
    <w:uiPriority w:val="29"/>
    <w:qFormat/>
    <w:rsid w:val="004A6D2F"/>
    <w:rPr>
      <w:i/>
      <w:iCs/>
    </w:rPr>
  </w:style>
  <w:style w:type="character" w:styleId="BulletpointsChar" w:customStyle="1">
    <w:name w:val="Bullet points Char"/>
    <w:link w:val="Bulletpoints"/>
    <w:rsid w:val="005570B5"/>
    <w:rPr>
      <w:color w:val="000000"/>
      <w:sz w:val="24"/>
      <w:szCs w:val="24"/>
    </w:rPr>
  </w:style>
  <w:style w:type="character" w:styleId="QuoteChar" w:customStyle="1">
    <w:name w:val="Quote Char"/>
    <w:link w:val="Quote"/>
    <w:uiPriority w:val="29"/>
    <w:rsid w:val="004A6D2F"/>
    <w:rPr>
      <w:rFonts w:ascii="Arial" w:hAnsi="Arial"/>
      <w:i/>
      <w:iCs/>
      <w:color w:val="000000"/>
      <w:sz w:val="24"/>
      <w:szCs w:val="24"/>
      <w:lang w:eastAsia="en-US"/>
    </w:rPr>
  </w:style>
  <w:style w:type="character" w:styleId="FooterChar" w:customStyle="1">
    <w:name w:val="Footer Char"/>
    <w:aliases w:val="zzFooter Char"/>
    <w:link w:val="Footer"/>
    <w:uiPriority w:val="99"/>
    <w:rsid w:val="004B11AE"/>
    <w:rPr>
      <w:color w:val="000000"/>
      <w:sz w:val="18"/>
      <w:szCs w:val="24"/>
    </w:rPr>
  </w:style>
  <w:style w:type="character" w:styleId="Firstpagetablebold" w:customStyle="1">
    <w:name w:val="First page table: bold"/>
    <w:qFormat/>
    <w:rsid w:val="005D1E27"/>
    <w:rPr>
      <w:rFonts w:ascii="Arial" w:hAnsi="Arial"/>
      <w:b/>
      <w:sz w:val="24"/>
    </w:rPr>
  </w:style>
  <w:style w:type="paragraph" w:styleId="bParagraphtext" w:customStyle="1">
    <w:name w:val="bParagraph text"/>
    <w:basedOn w:val="ListParagraph"/>
    <w:link w:val="bParagraphtextChar"/>
    <w:qFormat/>
    <w:rsid w:val="004268B9"/>
  </w:style>
  <w:style w:type="paragraph" w:styleId="Caption">
    <w:name w:val="caption"/>
    <w:basedOn w:val="Normal"/>
    <w:next w:val="Normal"/>
    <w:unhideWhenUsed/>
    <w:qFormat/>
    <w:rsid w:val="0093067A"/>
    <w:pPr>
      <w:spacing w:before="120"/>
      <w:jc w:val="center"/>
    </w:pPr>
    <w:rPr>
      <w:b/>
      <w:bCs/>
      <w:sz w:val="20"/>
      <w:szCs w:val="20"/>
    </w:rPr>
  </w:style>
  <w:style w:type="character" w:styleId="ListParagraphChar" w:customStyle="1">
    <w:name w:val="List Paragraph Char"/>
    <w:link w:val="ListParagraph"/>
    <w:uiPriority w:val="34"/>
    <w:rsid w:val="005570B5"/>
    <w:rPr>
      <w:color w:val="000000"/>
      <w:sz w:val="24"/>
      <w:szCs w:val="24"/>
    </w:rPr>
  </w:style>
  <w:style w:type="character" w:styleId="bParagraphtextChar" w:customStyle="1">
    <w:name w:val="bParagraph text Char"/>
    <w:link w:val="bParagraphtext"/>
    <w:rsid w:val="005570B5"/>
    <w:rPr>
      <w:color w:val="000000"/>
      <w:sz w:val="24"/>
      <w:szCs w:val="24"/>
    </w:rPr>
  </w:style>
  <w:style w:type="paragraph" w:styleId="Numberedlist" w:customStyle="1">
    <w:name w:val="Numbered list"/>
    <w:basedOn w:val="Bulletpoints"/>
    <w:link w:val="NumberedlistChar"/>
    <w:qFormat/>
    <w:rsid w:val="004738C5"/>
    <w:pPr>
      <w:numPr>
        <w:numId w:val="6"/>
      </w:numPr>
      <w:ind w:left="993" w:hanging="426"/>
    </w:pPr>
  </w:style>
  <w:style w:type="character" w:styleId="Heading1Char" w:customStyle="1">
    <w:name w:val="Heading 1 Char"/>
    <w:aliases w:val="aHeading Char"/>
    <w:link w:val="Heading1"/>
    <w:rsid w:val="002B6836"/>
    <w:rPr>
      <w:b/>
      <w:color w:val="000000"/>
      <w:sz w:val="24"/>
      <w:szCs w:val="24"/>
    </w:rPr>
  </w:style>
  <w:style w:type="paragraph" w:styleId="TOAHeading">
    <w:name w:val="toa heading"/>
    <w:basedOn w:val="Normal"/>
    <w:next w:val="Normal"/>
    <w:rsid w:val="005570B5"/>
    <w:pPr>
      <w:spacing w:before="120"/>
    </w:pPr>
    <w:rPr>
      <w:rFonts w:ascii="Cambria" w:hAnsi="Cambria"/>
      <w:b/>
      <w:bCs/>
    </w:rPr>
  </w:style>
  <w:style w:type="character" w:styleId="NumberedlistChar" w:customStyle="1">
    <w:name w:val="Numbered list Char"/>
    <w:link w:val="Numberedlist"/>
    <w:rsid w:val="004738C5"/>
    <w:rPr>
      <w:color w:val="000000"/>
      <w:sz w:val="24"/>
      <w:szCs w:val="24"/>
    </w:rPr>
  </w:style>
  <w:style w:type="table" w:styleId="TableColumns1">
    <w:name w:val="Table Columns 1"/>
    <w:basedOn w:val="TableNormal"/>
    <w:rsid w:val="00507ECC"/>
    <w:pPr>
      <w:spacing w:after="120"/>
    </w:pPr>
    <w:rPr>
      <w:b/>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4">
    <w:name w:val="Table Classic 4"/>
    <w:basedOn w:val="TableNormal"/>
    <w:rsid w:val="00507ECC"/>
    <w:pPr>
      <w:spacing w:after="120"/>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Grid3">
    <w:name w:val="Table Grid 3"/>
    <w:basedOn w:val="TableNormal"/>
    <w:rsid w:val="00507ECC"/>
    <w:pPr>
      <w:spacing w:after="120"/>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LightList-Accent1">
    <w:name w:val="Light List Accent 1"/>
    <w:basedOn w:val="TableNormal"/>
    <w:uiPriority w:val="61"/>
    <w:rsid w:val="00507ECC"/>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character" w:styleId="UnresolvedMention">
    <w:name w:val="Unresolved Mention"/>
    <w:basedOn w:val="DefaultParagraphFont"/>
    <w:uiPriority w:val="99"/>
    <w:semiHidden/>
    <w:unhideWhenUsed/>
    <w:rsid w:val="00C80BDC"/>
    <w:rPr>
      <w:color w:val="605E5C"/>
      <w:shd w:val="clear" w:color="auto" w:fill="E1DFDD"/>
    </w:rPr>
  </w:style>
  <w:style w:type="character" w:styleId="FollowedHyperlink">
    <w:name w:val="FollowedHyperlink"/>
    <w:basedOn w:val="DefaultParagraphFont"/>
    <w:semiHidden/>
    <w:unhideWhenUsed/>
    <w:rsid w:val="003E053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970471">
      <w:bodyDiv w:val="1"/>
      <w:marLeft w:val="0"/>
      <w:marRight w:val="0"/>
      <w:marTop w:val="0"/>
      <w:marBottom w:val="0"/>
      <w:divBdr>
        <w:top w:val="none" w:sz="0" w:space="0" w:color="auto"/>
        <w:left w:val="none" w:sz="0" w:space="0" w:color="auto"/>
        <w:bottom w:val="none" w:sz="0" w:space="0" w:color="auto"/>
        <w:right w:val="none" w:sz="0" w:space="0" w:color="auto"/>
      </w:divBdr>
    </w:div>
    <w:div w:id="255987371">
      <w:bodyDiv w:val="1"/>
      <w:marLeft w:val="0"/>
      <w:marRight w:val="0"/>
      <w:marTop w:val="0"/>
      <w:marBottom w:val="0"/>
      <w:divBdr>
        <w:top w:val="none" w:sz="0" w:space="0" w:color="auto"/>
        <w:left w:val="none" w:sz="0" w:space="0" w:color="auto"/>
        <w:bottom w:val="none" w:sz="0" w:space="0" w:color="auto"/>
        <w:right w:val="none" w:sz="0" w:space="0" w:color="auto"/>
      </w:divBdr>
    </w:div>
    <w:div w:id="261574074">
      <w:bodyDiv w:val="1"/>
      <w:marLeft w:val="0"/>
      <w:marRight w:val="0"/>
      <w:marTop w:val="0"/>
      <w:marBottom w:val="0"/>
      <w:divBdr>
        <w:top w:val="none" w:sz="0" w:space="0" w:color="auto"/>
        <w:left w:val="none" w:sz="0" w:space="0" w:color="auto"/>
        <w:bottom w:val="none" w:sz="0" w:space="0" w:color="auto"/>
        <w:right w:val="none" w:sz="0" w:space="0" w:color="auto"/>
      </w:divBdr>
    </w:div>
    <w:div w:id="373189891">
      <w:bodyDiv w:val="1"/>
      <w:marLeft w:val="0"/>
      <w:marRight w:val="0"/>
      <w:marTop w:val="0"/>
      <w:marBottom w:val="0"/>
      <w:divBdr>
        <w:top w:val="none" w:sz="0" w:space="0" w:color="auto"/>
        <w:left w:val="none" w:sz="0" w:space="0" w:color="auto"/>
        <w:bottom w:val="none" w:sz="0" w:space="0" w:color="auto"/>
        <w:right w:val="none" w:sz="0" w:space="0" w:color="auto"/>
      </w:divBdr>
    </w:div>
    <w:div w:id="430903121">
      <w:bodyDiv w:val="1"/>
      <w:marLeft w:val="0"/>
      <w:marRight w:val="0"/>
      <w:marTop w:val="0"/>
      <w:marBottom w:val="0"/>
      <w:divBdr>
        <w:top w:val="none" w:sz="0" w:space="0" w:color="auto"/>
        <w:left w:val="none" w:sz="0" w:space="0" w:color="auto"/>
        <w:bottom w:val="none" w:sz="0" w:space="0" w:color="auto"/>
        <w:right w:val="none" w:sz="0" w:space="0" w:color="auto"/>
      </w:divBdr>
    </w:div>
    <w:div w:id="543909243">
      <w:bodyDiv w:val="1"/>
      <w:marLeft w:val="0"/>
      <w:marRight w:val="0"/>
      <w:marTop w:val="0"/>
      <w:marBottom w:val="0"/>
      <w:divBdr>
        <w:top w:val="none" w:sz="0" w:space="0" w:color="auto"/>
        <w:left w:val="none" w:sz="0" w:space="0" w:color="auto"/>
        <w:bottom w:val="none" w:sz="0" w:space="0" w:color="auto"/>
        <w:right w:val="none" w:sz="0" w:space="0" w:color="auto"/>
      </w:divBdr>
    </w:div>
    <w:div w:id="565995746">
      <w:bodyDiv w:val="1"/>
      <w:marLeft w:val="0"/>
      <w:marRight w:val="0"/>
      <w:marTop w:val="0"/>
      <w:marBottom w:val="0"/>
      <w:divBdr>
        <w:top w:val="none" w:sz="0" w:space="0" w:color="auto"/>
        <w:left w:val="none" w:sz="0" w:space="0" w:color="auto"/>
        <w:bottom w:val="none" w:sz="0" w:space="0" w:color="auto"/>
        <w:right w:val="none" w:sz="0" w:space="0" w:color="auto"/>
      </w:divBdr>
    </w:div>
    <w:div w:id="674767497">
      <w:bodyDiv w:val="1"/>
      <w:marLeft w:val="0"/>
      <w:marRight w:val="0"/>
      <w:marTop w:val="0"/>
      <w:marBottom w:val="0"/>
      <w:divBdr>
        <w:top w:val="none" w:sz="0" w:space="0" w:color="auto"/>
        <w:left w:val="none" w:sz="0" w:space="0" w:color="auto"/>
        <w:bottom w:val="none" w:sz="0" w:space="0" w:color="auto"/>
        <w:right w:val="none" w:sz="0" w:space="0" w:color="auto"/>
      </w:divBdr>
    </w:div>
    <w:div w:id="715664606">
      <w:bodyDiv w:val="1"/>
      <w:marLeft w:val="0"/>
      <w:marRight w:val="0"/>
      <w:marTop w:val="0"/>
      <w:marBottom w:val="0"/>
      <w:divBdr>
        <w:top w:val="none" w:sz="0" w:space="0" w:color="auto"/>
        <w:left w:val="none" w:sz="0" w:space="0" w:color="auto"/>
        <w:bottom w:val="none" w:sz="0" w:space="0" w:color="auto"/>
        <w:right w:val="none" w:sz="0" w:space="0" w:color="auto"/>
      </w:divBdr>
    </w:div>
    <w:div w:id="896626785">
      <w:bodyDiv w:val="1"/>
      <w:marLeft w:val="0"/>
      <w:marRight w:val="0"/>
      <w:marTop w:val="0"/>
      <w:marBottom w:val="0"/>
      <w:divBdr>
        <w:top w:val="none" w:sz="0" w:space="0" w:color="auto"/>
        <w:left w:val="none" w:sz="0" w:space="0" w:color="auto"/>
        <w:bottom w:val="none" w:sz="0" w:space="0" w:color="auto"/>
        <w:right w:val="none" w:sz="0" w:space="0" w:color="auto"/>
      </w:divBdr>
    </w:div>
    <w:div w:id="1234318887">
      <w:bodyDiv w:val="1"/>
      <w:marLeft w:val="0"/>
      <w:marRight w:val="0"/>
      <w:marTop w:val="0"/>
      <w:marBottom w:val="0"/>
      <w:divBdr>
        <w:top w:val="none" w:sz="0" w:space="0" w:color="auto"/>
        <w:left w:val="none" w:sz="0" w:space="0" w:color="auto"/>
        <w:bottom w:val="none" w:sz="0" w:space="0" w:color="auto"/>
        <w:right w:val="none" w:sz="0" w:space="0" w:color="auto"/>
      </w:divBdr>
    </w:div>
    <w:div w:id="1343970612">
      <w:bodyDiv w:val="1"/>
      <w:marLeft w:val="0"/>
      <w:marRight w:val="0"/>
      <w:marTop w:val="0"/>
      <w:marBottom w:val="0"/>
      <w:divBdr>
        <w:top w:val="none" w:sz="0" w:space="0" w:color="auto"/>
        <w:left w:val="none" w:sz="0" w:space="0" w:color="auto"/>
        <w:bottom w:val="none" w:sz="0" w:space="0" w:color="auto"/>
        <w:right w:val="none" w:sz="0" w:space="0" w:color="auto"/>
      </w:divBdr>
    </w:div>
    <w:div w:id="1454129367">
      <w:bodyDiv w:val="1"/>
      <w:marLeft w:val="0"/>
      <w:marRight w:val="0"/>
      <w:marTop w:val="0"/>
      <w:marBottom w:val="0"/>
      <w:divBdr>
        <w:top w:val="none" w:sz="0" w:space="0" w:color="auto"/>
        <w:left w:val="none" w:sz="0" w:space="0" w:color="auto"/>
        <w:bottom w:val="none" w:sz="0" w:space="0" w:color="auto"/>
        <w:right w:val="none" w:sz="0" w:space="0" w:color="auto"/>
      </w:divBdr>
    </w:div>
    <w:div w:id="1464349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288C9F99542148A16292699E9EF8DD" ma:contentTypeVersion="12" ma:contentTypeDescription="Create a new document." ma:contentTypeScope="" ma:versionID="c0890496c46167c86a643b70879a49fc">
  <xsd:schema xmlns:xsd="http://www.w3.org/2001/XMLSchema" xmlns:xs="http://www.w3.org/2001/XMLSchema" xmlns:p="http://schemas.microsoft.com/office/2006/metadata/properties" xmlns:ns2="767482ae-7241-49c3-8a4f-7ce08acf9f0e" xmlns:ns3="3786fa0e-627d-4c8f-81d4-9acfec184fed" targetNamespace="http://schemas.microsoft.com/office/2006/metadata/properties" ma:root="true" ma:fieldsID="f707e2255aaf8df206e3137265692de0" ns2:_="" ns3:_="">
    <xsd:import namespace="767482ae-7241-49c3-8a4f-7ce08acf9f0e"/>
    <xsd:import namespace="3786fa0e-627d-4c8f-81d4-9acfec184f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7482ae-7241-49c3-8a4f-7ce08acf9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dd4ae1b-e163-46e9-a8ef-d6e330c9a7d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86fa0e-627d-4c8f-81d4-9acfec184fe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2b3b9f7-7072-40e0-9d1e-a551a753d0fc}" ma:internalName="TaxCatchAll" ma:showField="CatchAllData" ma:web="3786fa0e-627d-4c8f-81d4-9acfec184f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786fa0e-627d-4c8f-81d4-9acfec184fed" xsi:nil="true"/>
    <lcf76f155ced4ddcb4097134ff3c332f xmlns="767482ae-7241-49c3-8a4f-7ce08acf9f0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98840B5-7423-49C0-A4B8-9CA6D14F64CB}"/>
</file>

<file path=customXml/itemProps2.xml><?xml version="1.0" encoding="utf-8"?>
<ds:datastoreItem xmlns:ds="http://schemas.openxmlformats.org/officeDocument/2006/customXml" ds:itemID="{DA6AB859-1359-4A59-AAB8-A2A5B8A58C45}">
  <ds:schemaRefs>
    <ds:schemaRef ds:uri="http://schemas.openxmlformats.org/officeDocument/2006/bibliography"/>
  </ds:schemaRefs>
</ds:datastoreItem>
</file>

<file path=customXml/itemProps3.xml><?xml version="1.0" encoding="utf-8"?>
<ds:datastoreItem xmlns:ds="http://schemas.openxmlformats.org/officeDocument/2006/customXml" ds:itemID="{181BCFD2-81E2-4427-86F5-27E3506938E2}">
  <ds:schemaRefs>
    <ds:schemaRef ds:uri="http://schemas.microsoft.com/sharepoint/v3/contenttype/forms"/>
  </ds:schemaRefs>
</ds:datastoreItem>
</file>

<file path=customXml/itemProps4.xml><?xml version="1.0" encoding="utf-8"?>
<ds:datastoreItem xmlns:ds="http://schemas.openxmlformats.org/officeDocument/2006/customXml" ds:itemID="{D7302B15-B981-4809-B525-C3BA22C5FE74}">
  <ds:schemaRefs>
    <ds:schemaRef ds:uri="http://schemas.microsoft.com/office/2006/metadata/properties"/>
    <ds:schemaRef ds:uri="http://schemas.microsoft.com/office/infopath/2007/PartnerControls"/>
    <ds:schemaRef ds:uri="f4289e97-0d63-4019-8f44-420cabf9f53d"/>
    <ds:schemaRef ds:uri="5dbcacbc-e47f-48b8-b755-e7c1dfdf10a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Oxford City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OxCityCouncil Cabinet report</dc:title>
  <dc:subject/>
  <dc:creator>jmitchell</dc:creator>
  <keywords>OxCityCouncil Report</keywords>
  <lastModifiedBy>MCCOLLUM Brenda</lastModifiedBy>
  <revision>4</revision>
  <lastPrinted>2015-07-03T13:50:00.0000000Z</lastPrinted>
  <dcterms:created xsi:type="dcterms:W3CDTF">2025-11-05T08:46:00.0000000Z</dcterms:created>
  <dcterms:modified xsi:type="dcterms:W3CDTF">2025-11-21T11:00:28.3465428Z</dcterms:modified>
  <category>Report to Council or Committee</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0x010100B5288C9F99542148A16292699E9EF8DD</vt:lpwstr>
  </property>
  <property fmtid="{D5CDD505-2E9C-101B-9397-08002B2CF9AE}" pid="3" name="MediaServiceImageTags">
    <vt:lpwstr/>
  </property>
</Properties>
</file>